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FC18C" w14:textId="77777777" w:rsidR="00385B79" w:rsidRDefault="00F56376">
      <w:r>
        <w:rPr>
          <w:noProof/>
          <w:lang w:eastAsia="sv-SE"/>
        </w:rPr>
        <mc:AlternateContent>
          <mc:Choice Requires="wpg">
            <w:drawing>
              <wp:anchor distT="0" distB="0" distL="114300" distR="114300" simplePos="0" relativeHeight="251658240" behindDoc="1" locked="0" layoutInCell="1" allowOverlap="1" wp14:anchorId="55302EC8" wp14:editId="347F9097">
                <wp:simplePos x="0" y="0"/>
                <wp:positionH relativeFrom="page">
                  <wp:posOffset>288290</wp:posOffset>
                </wp:positionH>
                <wp:positionV relativeFrom="page">
                  <wp:posOffset>1199515</wp:posOffset>
                </wp:positionV>
                <wp:extent cx="6983730" cy="9251950"/>
                <wp:effectExtent l="0" t="0" r="7620" b="6350"/>
                <wp:wrapNone/>
                <wp:docPr id="1" name="Grupp 1"/>
                <wp:cNvGraphicFramePr/>
                <a:graphic xmlns:a="http://schemas.openxmlformats.org/drawingml/2006/main">
                  <a:graphicData uri="http://schemas.microsoft.com/office/word/2010/wordprocessingGroup">
                    <wpg:wgp>
                      <wpg:cNvGrpSpPr/>
                      <wpg:grpSpPr>
                        <a:xfrm>
                          <a:off x="0" y="0"/>
                          <a:ext cx="6983730" cy="9251950"/>
                          <a:chOff x="454" y="1814"/>
                          <a:chExt cx="10998" cy="14570"/>
                        </a:xfrm>
                      </wpg:grpSpPr>
                      <pic:pic xmlns:pic="http://schemas.openxmlformats.org/drawingml/2006/picture">
                        <pic:nvPicPr>
                          <pic:cNvPr id="2"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454" y="1814"/>
                            <a:ext cx="10998" cy="145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2505" y="1814"/>
                            <a:ext cx="6999" cy="93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6867" y="6450"/>
                            <a:ext cx="4585" cy="99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p 1" o:spid="_x0000_s1025" style="width:549.9pt;height:728.5pt;margin-top:94.45pt;margin-left:22.7pt;mso-position-horizontal-relative:page;mso-position-vertical-relative:page;position:absolute;z-index:-251657216" coordorigin="454,1814" coordsize="10998,14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width:10998;height:14570;left:454;mso-wrap-style:square;position:absolute;top:1814;visibility:visible">
                  <v:imagedata r:id="rId11" o:title=""/>
                </v:shape>
                <v:shape id="Picture 4" o:spid="_x0000_s1027" type="#_x0000_t75" style="width:6999;height:9355;left:2505;mso-wrap-style:square;position:absolute;top:1814;visibility:visible">
                  <v:imagedata r:id="rId12" o:title=""/>
                </v:shape>
                <v:shape id="Picture 5" o:spid="_x0000_s1028" type="#_x0000_t75" style="width:4585;height:9935;left:6867;mso-wrap-style:square;position:absolute;top:6450;visibility:visible">
                  <v:imagedata r:id="rId13" o:title=""/>
                </v:shape>
              </v:group>
            </w:pict>
          </mc:Fallback>
        </mc:AlternateContent>
      </w:r>
    </w:p>
    <w:p w14:paraId="620102B5" w14:textId="77777777" w:rsidR="00385B79" w:rsidRDefault="00F56376">
      <w:r>
        <w:rPr>
          <w:noProof/>
          <w:lang w:eastAsia="sv-SE"/>
        </w:rPr>
        <mc:AlternateContent>
          <mc:Choice Requires="wps">
            <w:drawing>
              <wp:anchor distT="0" distB="0" distL="114300" distR="114300" simplePos="0" relativeHeight="251660288" behindDoc="0" locked="0" layoutInCell="1" allowOverlap="1" wp14:anchorId="1CDAB3D8" wp14:editId="0D3227C9">
                <wp:simplePos x="0" y="0"/>
                <wp:positionH relativeFrom="margin">
                  <wp:posOffset>14605</wp:posOffset>
                </wp:positionH>
                <wp:positionV relativeFrom="paragraph">
                  <wp:posOffset>3799366</wp:posOffset>
                </wp:positionV>
                <wp:extent cx="4571744" cy="1801505"/>
                <wp:effectExtent l="0" t="0" r="0" b="0"/>
                <wp:wrapNone/>
                <wp:docPr id="6" name="Textruta 6"/>
                <wp:cNvGraphicFramePr/>
                <a:graphic xmlns:a="http://schemas.openxmlformats.org/drawingml/2006/main">
                  <a:graphicData uri="http://schemas.microsoft.com/office/word/2010/wordprocessingShape">
                    <wps:wsp>
                      <wps:cNvSpPr txBox="1"/>
                      <wps:spPr>
                        <a:xfrm>
                          <a:off x="0" y="0"/>
                          <a:ext cx="4571744" cy="1801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710B0" w14:textId="77777777" w:rsidR="00385B79" w:rsidRPr="006A24C8" w:rsidRDefault="00F56376" w:rsidP="009A7F46">
                            <w:pPr>
                              <w:jc w:val="center"/>
                              <w:rPr>
                                <w:rFonts w:ascii="Arial" w:hAnsi="Arial" w:cs="Arial"/>
                                <w:sz w:val="52"/>
                                <w:szCs w:val="52"/>
                              </w:rPr>
                            </w:pPr>
                            <w:r>
                              <w:rPr>
                                <w:rFonts w:ascii="Arial" w:hAnsi="Arial" w:cs="Arial"/>
                                <w:sz w:val="52"/>
                                <w:szCs w:val="52"/>
                              </w:rPr>
                              <w:t>Verksamhetsberättelse</w:t>
                            </w:r>
                          </w:p>
                          <w:p w14:paraId="419838AF" w14:textId="77777777" w:rsidR="00385B79" w:rsidRPr="009A7F46" w:rsidRDefault="00F56376" w:rsidP="002A5AE7">
                            <w:pPr>
                              <w:jc w:val="center"/>
                              <w:rPr>
                                <w:rFonts w:ascii="Arial" w:hAnsi="Arial" w:cs="Arial"/>
                                <w:sz w:val="36"/>
                                <w:szCs w:val="36"/>
                              </w:rPr>
                            </w:pPr>
                            <w:r w:rsidRPr="009A7F46">
                              <w:rPr>
                                <w:rFonts w:ascii="Arial" w:hAnsi="Arial" w:cs="Arial"/>
                                <w:sz w:val="36"/>
                                <w:szCs w:val="36"/>
                              </w:rPr>
                              <w:t xml:space="preserve">Kulturnämnd </w:t>
                            </w:r>
                          </w:p>
                          <w:p w14:paraId="07C35816" w14:textId="77777777" w:rsidR="00385B79" w:rsidRPr="009A7F46" w:rsidRDefault="00F56376" w:rsidP="002A5AE7">
                            <w:pPr>
                              <w:jc w:val="center"/>
                              <w:rPr>
                                <w:rFonts w:ascii="Arial" w:hAnsi="Arial" w:cs="Arial"/>
                                <w:sz w:val="36"/>
                                <w:szCs w:val="36"/>
                              </w:rPr>
                            </w:pPr>
                            <w:r w:rsidRPr="009A7F46">
                              <w:rPr>
                                <w:rFonts w:ascii="Arial" w:hAnsi="Arial" w:cs="Arial"/>
                                <w:sz w:val="36"/>
                                <w:szCs w:val="36"/>
                              </w:rPr>
                              <w:t>Helår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CDAB3D8" id="_x0000_t202" coordsize="21600,21600" o:spt="202" path="m,l,21600r21600,l21600,xe">
                <v:stroke joinstyle="miter"/>
                <v:path gradientshapeok="t" o:connecttype="rect"/>
              </v:shapetype>
              <v:shape id="Textruta 6" o:spid="_x0000_s1026" type="#_x0000_t202" style="position:absolute;margin-left:1.15pt;margin-top:299.15pt;width:5in;height:141.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" filled="f" stroked="f" strokeweight=".5pt">
                <v:textbox>
                  <w:txbxContent>
                    <w:p w14:paraId="7D8710B0" w14:textId="77777777" w:rsidR="00385B79" w:rsidRPr="006A24C8" w:rsidRDefault="00F56376" w:rsidP="009A7F46">
                      <w:pPr>
                        <w:jc w:val="center"/>
                        <w:rPr>
                          <w:rFonts w:ascii="Arial" w:hAnsi="Arial" w:cs="Arial"/>
                          <w:sz w:val="52"/>
                          <w:szCs w:val="52"/>
                        </w:rPr>
                      </w:pPr>
                      <w:r>
                        <w:rPr>
                          <w:rFonts w:ascii="Arial" w:hAnsi="Arial" w:cs="Arial"/>
                          <w:sz w:val="52"/>
                          <w:szCs w:val="52"/>
                        </w:rPr>
                        <w:t>Verksamhetsberättelse</w:t>
                      </w:r>
                    </w:p>
                    <w:p w14:paraId="419838AF" w14:textId="77777777" w:rsidR="00385B79" w:rsidRPr="009A7F46" w:rsidRDefault="00F56376" w:rsidP="002A5AE7">
                      <w:pPr>
                        <w:jc w:val="center"/>
                        <w:rPr>
                          <w:rFonts w:ascii="Arial" w:hAnsi="Arial" w:cs="Arial"/>
                          <w:sz w:val="36"/>
                          <w:szCs w:val="36"/>
                        </w:rPr>
                      </w:pPr>
                      <w:r w:rsidRPr="009A7F46">
                        <w:rPr>
                          <w:rFonts w:ascii="Arial" w:hAnsi="Arial" w:cs="Arial"/>
                          <w:sz w:val="36"/>
                          <w:szCs w:val="36"/>
                        </w:rPr>
                        <w:t xml:space="preserve">Kulturnämnd </w:t>
                      </w:r>
                    </w:p>
                    <w:p w14:paraId="07C35816" w14:textId="77777777" w:rsidR="00385B79" w:rsidRPr="009A7F46" w:rsidRDefault="00F56376" w:rsidP="002A5AE7">
                      <w:pPr>
                        <w:jc w:val="center"/>
                        <w:rPr>
                          <w:rFonts w:ascii="Arial" w:hAnsi="Arial" w:cs="Arial"/>
                          <w:sz w:val="36"/>
                          <w:szCs w:val="36"/>
                        </w:rPr>
                      </w:pPr>
                      <w:r w:rsidRPr="009A7F46">
                        <w:rPr>
                          <w:rFonts w:ascii="Arial" w:hAnsi="Arial" w:cs="Arial"/>
                          <w:sz w:val="36"/>
                          <w:szCs w:val="36"/>
                        </w:rPr>
                        <w:t>Helår 2025</w:t>
                      </w:r>
                    </w:p>
                  </w:txbxContent>
                </v:textbox>
                <w10:wrap anchorx="margin"/>
              </v:shape>
            </w:pict>
          </mc:Fallback>
        </mc:AlternateContent>
      </w:r>
    </w:p>
    <w:p w14:paraId="5BD1BFE1" w14:textId="77777777" w:rsidR="00795E60" w:rsidRDefault="00F56376">
      <w:r>
        <w:br w:type="page"/>
      </w:r>
    </w:p>
    <w:sdt>
      <w:sdtPr>
        <w:rPr>
          <w:rFonts w:ascii="Times New Roman" w:eastAsia="Times New Roman" w:hAnsi="Times New Roman" w:cs="Times New Roman"/>
          <w:b w:val="0"/>
          <w:bCs w:val="0"/>
          <w:color w:val="auto"/>
          <w:sz w:val="22"/>
          <w:szCs w:val="22"/>
        </w:rPr>
        <w:id w:val="-1109891588"/>
        <w:docPartObj>
          <w:docPartGallery w:val="Table of Contents"/>
          <w:docPartUnique/>
        </w:docPartObj>
      </w:sdtPr>
      <w:sdtEndPr/>
      <w:sdtContent>
        <w:p w14:paraId="18BB0AAF" w14:textId="77777777" w:rsidR="00795E60" w:rsidRDefault="00F56376">
          <w:pPr>
            <w:pStyle w:val="Innehllsfrteckningsrubrik"/>
          </w:pPr>
          <w:r>
            <w:t>Innehållsförteckning</w:t>
          </w:r>
        </w:p>
        <w:p w14:paraId="5A959D49" w14:textId="77777777" w:rsidR="009C768E" w:rsidRDefault="00F56376">
          <w:pPr>
            <w:pStyle w:val="Innehll1"/>
            <w:rPr>
              <w:rFonts w:asciiTheme="minorHAnsi" w:hAnsiTheme="minorHAnsi"/>
              <w:b w:val="0"/>
              <w:bCs w:val="0"/>
              <w:noProof/>
              <w:color w:val="auto"/>
              <w:sz w:val="22"/>
              <w:szCs w:val="22"/>
              <w:lang w:eastAsia="sv-SE"/>
            </w:rPr>
          </w:pPr>
          <w:r>
            <w:fldChar w:fldCharType="begin"/>
          </w:r>
          <w:r>
            <w:instrText xml:space="preserve"> TOC \o "1-2" \h \z \u </w:instrText>
          </w:r>
          <w:r>
            <w:fldChar w:fldCharType="separate"/>
          </w:r>
          <w:hyperlink w:anchor="_Toc220678290" w:history="1">
            <w:r w:rsidR="009C768E" w:rsidRPr="003242BD">
              <w:rPr>
                <w:rStyle w:val="Hyperlnk"/>
                <w:noProof/>
              </w:rPr>
              <w:t>1</w:t>
            </w:r>
            <w:r w:rsidR="009C768E">
              <w:rPr>
                <w:rFonts w:asciiTheme="minorHAnsi" w:hAnsiTheme="minorHAnsi"/>
                <w:b w:val="0"/>
                <w:bCs w:val="0"/>
                <w:noProof/>
                <w:color w:val="auto"/>
                <w:sz w:val="22"/>
                <w:szCs w:val="22"/>
                <w:lang w:eastAsia="sv-SE"/>
              </w:rPr>
              <w:tab/>
            </w:r>
            <w:r w:rsidR="009C768E" w:rsidRPr="003242BD">
              <w:rPr>
                <w:rStyle w:val="Hyperlnk"/>
                <w:noProof/>
              </w:rPr>
              <w:t>Inledning</w:t>
            </w:r>
            <w:r w:rsidR="009C768E">
              <w:rPr>
                <w:noProof/>
                <w:webHidden/>
              </w:rPr>
              <w:tab/>
            </w:r>
            <w:r w:rsidR="009C768E">
              <w:rPr>
                <w:noProof/>
                <w:webHidden/>
              </w:rPr>
              <w:fldChar w:fldCharType="begin"/>
            </w:r>
            <w:r w:rsidR="009C768E">
              <w:rPr>
                <w:noProof/>
                <w:webHidden/>
              </w:rPr>
              <w:instrText xml:space="preserve"> PAGEREF _Toc220678290 \h </w:instrText>
            </w:r>
            <w:r w:rsidR="009C768E">
              <w:rPr>
                <w:noProof/>
                <w:webHidden/>
              </w:rPr>
            </w:r>
            <w:r w:rsidR="009C768E">
              <w:rPr>
                <w:noProof/>
                <w:webHidden/>
              </w:rPr>
              <w:fldChar w:fldCharType="separate"/>
            </w:r>
            <w:r w:rsidR="009C768E">
              <w:rPr>
                <w:noProof/>
                <w:webHidden/>
              </w:rPr>
              <w:t>3</w:t>
            </w:r>
            <w:r w:rsidR="009C768E">
              <w:rPr>
                <w:noProof/>
                <w:webHidden/>
              </w:rPr>
              <w:fldChar w:fldCharType="end"/>
            </w:r>
          </w:hyperlink>
        </w:p>
        <w:p w14:paraId="38BFDED3" w14:textId="77777777" w:rsidR="009C768E" w:rsidRDefault="009C768E">
          <w:pPr>
            <w:pStyle w:val="Innehll1"/>
            <w:rPr>
              <w:rFonts w:asciiTheme="minorHAnsi" w:hAnsiTheme="minorHAnsi"/>
              <w:b w:val="0"/>
              <w:bCs w:val="0"/>
              <w:noProof/>
              <w:color w:val="auto"/>
              <w:sz w:val="22"/>
              <w:szCs w:val="22"/>
              <w:lang w:eastAsia="sv-SE"/>
            </w:rPr>
          </w:pPr>
          <w:hyperlink w:anchor="_Toc220678291" w:history="1">
            <w:r w:rsidRPr="003242BD">
              <w:rPr>
                <w:rStyle w:val="Hyperlnk"/>
                <w:noProof/>
              </w:rPr>
              <w:t>2</w:t>
            </w:r>
            <w:r>
              <w:rPr>
                <w:rFonts w:asciiTheme="minorHAnsi" w:hAnsiTheme="minorHAnsi"/>
                <w:b w:val="0"/>
                <w:bCs w:val="0"/>
                <w:noProof/>
                <w:color w:val="auto"/>
                <w:sz w:val="22"/>
                <w:szCs w:val="22"/>
                <w:lang w:eastAsia="sv-SE"/>
              </w:rPr>
              <w:tab/>
            </w:r>
            <w:r w:rsidRPr="003242BD">
              <w:rPr>
                <w:rStyle w:val="Hyperlnk"/>
                <w:noProof/>
              </w:rPr>
              <w:t>Väsentliga händelser</w:t>
            </w:r>
            <w:r>
              <w:rPr>
                <w:noProof/>
                <w:webHidden/>
              </w:rPr>
              <w:tab/>
            </w:r>
            <w:r>
              <w:rPr>
                <w:noProof/>
                <w:webHidden/>
              </w:rPr>
              <w:fldChar w:fldCharType="begin"/>
            </w:r>
            <w:r>
              <w:rPr>
                <w:noProof/>
                <w:webHidden/>
              </w:rPr>
              <w:instrText xml:space="preserve"> PAGEREF _Toc220678291 \h </w:instrText>
            </w:r>
            <w:r>
              <w:rPr>
                <w:noProof/>
                <w:webHidden/>
              </w:rPr>
            </w:r>
            <w:r>
              <w:rPr>
                <w:noProof/>
                <w:webHidden/>
              </w:rPr>
              <w:fldChar w:fldCharType="separate"/>
            </w:r>
            <w:r>
              <w:rPr>
                <w:noProof/>
                <w:webHidden/>
              </w:rPr>
              <w:t>3</w:t>
            </w:r>
            <w:r>
              <w:rPr>
                <w:noProof/>
                <w:webHidden/>
              </w:rPr>
              <w:fldChar w:fldCharType="end"/>
            </w:r>
          </w:hyperlink>
        </w:p>
        <w:p w14:paraId="33D40E4F" w14:textId="77777777" w:rsidR="009C768E" w:rsidRDefault="009C768E">
          <w:pPr>
            <w:pStyle w:val="Innehll1"/>
            <w:rPr>
              <w:rFonts w:asciiTheme="minorHAnsi" w:hAnsiTheme="minorHAnsi"/>
              <w:b w:val="0"/>
              <w:bCs w:val="0"/>
              <w:noProof/>
              <w:color w:val="auto"/>
              <w:sz w:val="22"/>
              <w:szCs w:val="22"/>
              <w:lang w:eastAsia="sv-SE"/>
            </w:rPr>
          </w:pPr>
          <w:hyperlink w:anchor="_Toc220678292" w:history="1">
            <w:r w:rsidRPr="003242BD">
              <w:rPr>
                <w:rStyle w:val="Hyperlnk"/>
                <w:noProof/>
              </w:rPr>
              <w:t>3</w:t>
            </w:r>
            <w:r>
              <w:rPr>
                <w:rFonts w:asciiTheme="minorHAnsi" w:hAnsiTheme="minorHAnsi"/>
                <w:b w:val="0"/>
                <w:bCs w:val="0"/>
                <w:noProof/>
                <w:color w:val="auto"/>
                <w:sz w:val="22"/>
                <w:szCs w:val="22"/>
                <w:lang w:eastAsia="sv-SE"/>
              </w:rPr>
              <w:tab/>
            </w:r>
            <w:r w:rsidRPr="003242BD">
              <w:rPr>
                <w:rStyle w:val="Hyperlnk"/>
                <w:noProof/>
              </w:rPr>
              <w:t>Nämndens målsättningar, mål och uppdrag</w:t>
            </w:r>
            <w:r>
              <w:rPr>
                <w:noProof/>
                <w:webHidden/>
              </w:rPr>
              <w:tab/>
            </w:r>
            <w:r>
              <w:rPr>
                <w:noProof/>
                <w:webHidden/>
              </w:rPr>
              <w:fldChar w:fldCharType="begin"/>
            </w:r>
            <w:r>
              <w:rPr>
                <w:noProof/>
                <w:webHidden/>
              </w:rPr>
              <w:instrText xml:space="preserve"> PAGEREF _Toc220678292 \h </w:instrText>
            </w:r>
            <w:r>
              <w:rPr>
                <w:noProof/>
                <w:webHidden/>
              </w:rPr>
            </w:r>
            <w:r>
              <w:rPr>
                <w:noProof/>
                <w:webHidden/>
              </w:rPr>
              <w:fldChar w:fldCharType="separate"/>
            </w:r>
            <w:r>
              <w:rPr>
                <w:noProof/>
                <w:webHidden/>
              </w:rPr>
              <w:t>5</w:t>
            </w:r>
            <w:r>
              <w:rPr>
                <w:noProof/>
                <w:webHidden/>
              </w:rPr>
              <w:fldChar w:fldCharType="end"/>
            </w:r>
          </w:hyperlink>
        </w:p>
        <w:p w14:paraId="6935B561" w14:textId="77777777" w:rsidR="009C768E" w:rsidRDefault="009C768E">
          <w:pPr>
            <w:pStyle w:val="Innehll2"/>
            <w:tabs>
              <w:tab w:val="left" w:pos="1134"/>
            </w:tabs>
            <w:rPr>
              <w:rFonts w:asciiTheme="minorHAnsi" w:eastAsiaTheme="minorEastAsia" w:hAnsiTheme="minorHAnsi" w:cstheme="minorBidi"/>
              <w:noProof/>
              <w:color w:val="auto"/>
              <w:sz w:val="22"/>
              <w:szCs w:val="22"/>
              <w:lang w:eastAsia="sv-SE"/>
            </w:rPr>
          </w:pPr>
          <w:hyperlink w:anchor="_Toc220678293" w:history="1">
            <w:r w:rsidRPr="003242BD">
              <w:rPr>
                <w:rStyle w:val="Hyperlnk"/>
                <w:noProof/>
              </w:rPr>
              <w:t>3.1</w:t>
            </w:r>
            <w:r>
              <w:rPr>
                <w:rFonts w:asciiTheme="minorHAnsi" w:eastAsiaTheme="minorEastAsia" w:hAnsiTheme="minorHAnsi" w:cstheme="minorBidi"/>
                <w:noProof/>
                <w:color w:val="auto"/>
                <w:sz w:val="22"/>
                <w:szCs w:val="22"/>
                <w:lang w:eastAsia="sv-SE"/>
              </w:rPr>
              <w:tab/>
            </w:r>
            <w:r w:rsidRPr="003242BD">
              <w:rPr>
                <w:rStyle w:val="Hyperlnk"/>
                <w:noProof/>
              </w:rPr>
              <w:t>Sammanfattning uppföljning av målsättningar, mål och uppdrag</w:t>
            </w:r>
            <w:r>
              <w:rPr>
                <w:noProof/>
                <w:webHidden/>
              </w:rPr>
              <w:tab/>
            </w:r>
            <w:r>
              <w:rPr>
                <w:noProof/>
                <w:webHidden/>
              </w:rPr>
              <w:fldChar w:fldCharType="begin"/>
            </w:r>
            <w:r>
              <w:rPr>
                <w:noProof/>
                <w:webHidden/>
              </w:rPr>
              <w:instrText xml:space="preserve"> PAGEREF _Toc220678293 \h </w:instrText>
            </w:r>
            <w:r>
              <w:rPr>
                <w:noProof/>
                <w:webHidden/>
              </w:rPr>
            </w:r>
            <w:r>
              <w:rPr>
                <w:noProof/>
                <w:webHidden/>
              </w:rPr>
              <w:fldChar w:fldCharType="separate"/>
            </w:r>
            <w:r>
              <w:rPr>
                <w:noProof/>
                <w:webHidden/>
              </w:rPr>
              <w:t>5</w:t>
            </w:r>
            <w:r>
              <w:rPr>
                <w:noProof/>
                <w:webHidden/>
              </w:rPr>
              <w:fldChar w:fldCharType="end"/>
            </w:r>
          </w:hyperlink>
        </w:p>
        <w:p w14:paraId="4C7C2B6B" w14:textId="77777777" w:rsidR="009C768E" w:rsidRDefault="009C768E">
          <w:pPr>
            <w:pStyle w:val="Innehll2"/>
            <w:tabs>
              <w:tab w:val="left" w:pos="1134"/>
            </w:tabs>
            <w:rPr>
              <w:rFonts w:asciiTheme="minorHAnsi" w:eastAsiaTheme="minorEastAsia" w:hAnsiTheme="minorHAnsi" w:cstheme="minorBidi"/>
              <w:noProof/>
              <w:color w:val="auto"/>
              <w:sz w:val="22"/>
              <w:szCs w:val="22"/>
              <w:lang w:eastAsia="sv-SE"/>
            </w:rPr>
          </w:pPr>
          <w:hyperlink w:anchor="_Toc220678294" w:history="1">
            <w:r w:rsidRPr="003242BD">
              <w:rPr>
                <w:rStyle w:val="Hyperlnk"/>
                <w:noProof/>
              </w:rPr>
              <w:t>3.2</w:t>
            </w:r>
            <w:r>
              <w:rPr>
                <w:rFonts w:asciiTheme="minorHAnsi" w:eastAsiaTheme="minorEastAsia" w:hAnsiTheme="minorHAnsi" w:cstheme="minorBidi"/>
                <w:noProof/>
                <w:color w:val="auto"/>
                <w:sz w:val="22"/>
                <w:szCs w:val="22"/>
                <w:lang w:eastAsia="sv-SE"/>
              </w:rPr>
              <w:tab/>
            </w:r>
            <w:r w:rsidRPr="003242BD">
              <w:rPr>
                <w:rStyle w:val="Hyperlnk"/>
                <w:noProof/>
              </w:rPr>
              <w:t>Övergripande målområden/målsättningar</w:t>
            </w:r>
            <w:r>
              <w:rPr>
                <w:noProof/>
                <w:webHidden/>
              </w:rPr>
              <w:tab/>
            </w:r>
            <w:r>
              <w:rPr>
                <w:noProof/>
                <w:webHidden/>
              </w:rPr>
              <w:fldChar w:fldCharType="begin"/>
            </w:r>
            <w:r>
              <w:rPr>
                <w:noProof/>
                <w:webHidden/>
              </w:rPr>
              <w:instrText xml:space="preserve"> PAGEREF _Toc220678294 \h </w:instrText>
            </w:r>
            <w:r>
              <w:rPr>
                <w:noProof/>
                <w:webHidden/>
              </w:rPr>
            </w:r>
            <w:r>
              <w:rPr>
                <w:noProof/>
                <w:webHidden/>
              </w:rPr>
              <w:fldChar w:fldCharType="separate"/>
            </w:r>
            <w:r>
              <w:rPr>
                <w:noProof/>
                <w:webHidden/>
              </w:rPr>
              <w:t>5</w:t>
            </w:r>
            <w:r>
              <w:rPr>
                <w:noProof/>
                <w:webHidden/>
              </w:rPr>
              <w:fldChar w:fldCharType="end"/>
            </w:r>
          </w:hyperlink>
        </w:p>
        <w:p w14:paraId="529A9843" w14:textId="77777777" w:rsidR="009C768E" w:rsidRDefault="009C768E">
          <w:pPr>
            <w:pStyle w:val="Innehll1"/>
            <w:rPr>
              <w:rFonts w:asciiTheme="minorHAnsi" w:hAnsiTheme="minorHAnsi"/>
              <w:b w:val="0"/>
              <w:bCs w:val="0"/>
              <w:noProof/>
              <w:color w:val="auto"/>
              <w:sz w:val="22"/>
              <w:szCs w:val="22"/>
              <w:lang w:eastAsia="sv-SE"/>
            </w:rPr>
          </w:pPr>
          <w:hyperlink w:anchor="_Toc220678295" w:history="1">
            <w:r w:rsidRPr="003242BD">
              <w:rPr>
                <w:rStyle w:val="Hyperlnk"/>
                <w:noProof/>
              </w:rPr>
              <w:t>4</w:t>
            </w:r>
            <w:r>
              <w:rPr>
                <w:rFonts w:asciiTheme="minorHAnsi" w:hAnsiTheme="minorHAnsi"/>
                <w:b w:val="0"/>
                <w:bCs w:val="0"/>
                <w:noProof/>
                <w:color w:val="auto"/>
                <w:sz w:val="22"/>
                <w:szCs w:val="22"/>
                <w:lang w:eastAsia="sv-SE"/>
              </w:rPr>
              <w:tab/>
            </w:r>
            <w:r w:rsidRPr="003242BD">
              <w:rPr>
                <w:rStyle w:val="Hyperlnk"/>
                <w:noProof/>
              </w:rPr>
              <w:t>Ekonomi</w:t>
            </w:r>
            <w:r>
              <w:rPr>
                <w:noProof/>
                <w:webHidden/>
              </w:rPr>
              <w:tab/>
            </w:r>
            <w:r>
              <w:rPr>
                <w:noProof/>
                <w:webHidden/>
              </w:rPr>
              <w:fldChar w:fldCharType="begin"/>
            </w:r>
            <w:r>
              <w:rPr>
                <w:noProof/>
                <w:webHidden/>
              </w:rPr>
              <w:instrText xml:space="preserve"> PAGEREF _Toc220678295 \h </w:instrText>
            </w:r>
            <w:r>
              <w:rPr>
                <w:noProof/>
                <w:webHidden/>
              </w:rPr>
            </w:r>
            <w:r>
              <w:rPr>
                <w:noProof/>
                <w:webHidden/>
              </w:rPr>
              <w:fldChar w:fldCharType="separate"/>
            </w:r>
            <w:r>
              <w:rPr>
                <w:noProof/>
                <w:webHidden/>
              </w:rPr>
              <w:t>23</w:t>
            </w:r>
            <w:r>
              <w:rPr>
                <w:noProof/>
                <w:webHidden/>
              </w:rPr>
              <w:fldChar w:fldCharType="end"/>
            </w:r>
          </w:hyperlink>
        </w:p>
        <w:p w14:paraId="0FD02DDD" w14:textId="77777777" w:rsidR="009C768E" w:rsidRDefault="009C768E">
          <w:pPr>
            <w:pStyle w:val="Innehll2"/>
            <w:tabs>
              <w:tab w:val="left" w:pos="1134"/>
            </w:tabs>
            <w:rPr>
              <w:rFonts w:asciiTheme="minorHAnsi" w:eastAsiaTheme="minorEastAsia" w:hAnsiTheme="minorHAnsi" w:cstheme="minorBidi"/>
              <w:noProof/>
              <w:color w:val="auto"/>
              <w:sz w:val="22"/>
              <w:szCs w:val="22"/>
              <w:lang w:eastAsia="sv-SE"/>
            </w:rPr>
          </w:pPr>
          <w:hyperlink w:anchor="_Toc220678296" w:history="1">
            <w:r w:rsidRPr="003242BD">
              <w:rPr>
                <w:rStyle w:val="Hyperlnk"/>
                <w:noProof/>
              </w:rPr>
              <w:t>4.1</w:t>
            </w:r>
            <w:r>
              <w:rPr>
                <w:rFonts w:asciiTheme="minorHAnsi" w:eastAsiaTheme="minorEastAsia" w:hAnsiTheme="minorHAnsi" w:cstheme="minorBidi"/>
                <w:noProof/>
                <w:color w:val="auto"/>
                <w:sz w:val="22"/>
                <w:szCs w:val="22"/>
                <w:lang w:eastAsia="sv-SE"/>
              </w:rPr>
              <w:tab/>
            </w:r>
            <w:r w:rsidRPr="003242BD">
              <w:rPr>
                <w:rStyle w:val="Hyperlnk"/>
                <w:noProof/>
              </w:rPr>
              <w:t>Resultatrapport kulturnämnden</w:t>
            </w:r>
            <w:r>
              <w:rPr>
                <w:noProof/>
                <w:webHidden/>
              </w:rPr>
              <w:tab/>
            </w:r>
            <w:r>
              <w:rPr>
                <w:noProof/>
                <w:webHidden/>
              </w:rPr>
              <w:fldChar w:fldCharType="begin"/>
            </w:r>
            <w:r>
              <w:rPr>
                <w:noProof/>
                <w:webHidden/>
              </w:rPr>
              <w:instrText xml:space="preserve"> PAGEREF _Toc220678296 \h </w:instrText>
            </w:r>
            <w:r>
              <w:rPr>
                <w:noProof/>
                <w:webHidden/>
              </w:rPr>
            </w:r>
            <w:r>
              <w:rPr>
                <w:noProof/>
                <w:webHidden/>
              </w:rPr>
              <w:fldChar w:fldCharType="separate"/>
            </w:r>
            <w:r>
              <w:rPr>
                <w:noProof/>
                <w:webHidden/>
              </w:rPr>
              <w:t>23</w:t>
            </w:r>
            <w:r>
              <w:rPr>
                <w:noProof/>
                <w:webHidden/>
              </w:rPr>
              <w:fldChar w:fldCharType="end"/>
            </w:r>
          </w:hyperlink>
        </w:p>
        <w:p w14:paraId="407C43DD" w14:textId="77777777" w:rsidR="009C768E" w:rsidRDefault="009C768E">
          <w:pPr>
            <w:pStyle w:val="Innehll2"/>
            <w:tabs>
              <w:tab w:val="left" w:pos="1134"/>
            </w:tabs>
            <w:rPr>
              <w:rFonts w:asciiTheme="minorHAnsi" w:eastAsiaTheme="minorEastAsia" w:hAnsiTheme="minorHAnsi" w:cstheme="minorBidi"/>
              <w:noProof/>
              <w:color w:val="auto"/>
              <w:sz w:val="22"/>
              <w:szCs w:val="22"/>
              <w:lang w:eastAsia="sv-SE"/>
            </w:rPr>
          </w:pPr>
          <w:hyperlink w:anchor="_Toc220678297" w:history="1">
            <w:r w:rsidRPr="003242BD">
              <w:rPr>
                <w:rStyle w:val="Hyperlnk"/>
                <w:noProof/>
              </w:rPr>
              <w:t>4.2</w:t>
            </w:r>
            <w:r>
              <w:rPr>
                <w:rFonts w:asciiTheme="minorHAnsi" w:eastAsiaTheme="minorEastAsia" w:hAnsiTheme="minorHAnsi" w:cstheme="minorBidi"/>
                <w:noProof/>
                <w:color w:val="auto"/>
                <w:sz w:val="22"/>
                <w:szCs w:val="22"/>
                <w:lang w:eastAsia="sv-SE"/>
              </w:rPr>
              <w:tab/>
            </w:r>
            <w:r w:rsidRPr="003242BD">
              <w:rPr>
                <w:rStyle w:val="Hyperlnk"/>
                <w:noProof/>
              </w:rPr>
              <w:t>Årets resultat</w:t>
            </w:r>
            <w:r>
              <w:rPr>
                <w:noProof/>
                <w:webHidden/>
              </w:rPr>
              <w:tab/>
            </w:r>
            <w:r>
              <w:rPr>
                <w:noProof/>
                <w:webHidden/>
              </w:rPr>
              <w:fldChar w:fldCharType="begin"/>
            </w:r>
            <w:r>
              <w:rPr>
                <w:noProof/>
                <w:webHidden/>
              </w:rPr>
              <w:instrText xml:space="preserve"> PAGEREF _Toc220678297 \h </w:instrText>
            </w:r>
            <w:r>
              <w:rPr>
                <w:noProof/>
                <w:webHidden/>
              </w:rPr>
            </w:r>
            <w:r>
              <w:rPr>
                <w:noProof/>
                <w:webHidden/>
              </w:rPr>
              <w:fldChar w:fldCharType="separate"/>
            </w:r>
            <w:r>
              <w:rPr>
                <w:noProof/>
                <w:webHidden/>
              </w:rPr>
              <w:t>24</w:t>
            </w:r>
            <w:r>
              <w:rPr>
                <w:noProof/>
                <w:webHidden/>
              </w:rPr>
              <w:fldChar w:fldCharType="end"/>
            </w:r>
          </w:hyperlink>
        </w:p>
        <w:p w14:paraId="7A44412F" w14:textId="77777777" w:rsidR="009C768E" w:rsidRDefault="009C768E">
          <w:pPr>
            <w:pStyle w:val="Innehll2"/>
            <w:tabs>
              <w:tab w:val="left" w:pos="1134"/>
            </w:tabs>
            <w:rPr>
              <w:rFonts w:asciiTheme="minorHAnsi" w:eastAsiaTheme="minorEastAsia" w:hAnsiTheme="minorHAnsi" w:cstheme="minorBidi"/>
              <w:noProof/>
              <w:color w:val="auto"/>
              <w:sz w:val="22"/>
              <w:szCs w:val="22"/>
              <w:lang w:eastAsia="sv-SE"/>
            </w:rPr>
          </w:pPr>
          <w:hyperlink w:anchor="_Toc220678298" w:history="1">
            <w:r w:rsidRPr="003242BD">
              <w:rPr>
                <w:rStyle w:val="Hyperlnk"/>
                <w:noProof/>
              </w:rPr>
              <w:t>4.3</w:t>
            </w:r>
            <w:r>
              <w:rPr>
                <w:rFonts w:asciiTheme="minorHAnsi" w:eastAsiaTheme="minorEastAsia" w:hAnsiTheme="minorHAnsi" w:cstheme="minorBidi"/>
                <w:noProof/>
                <w:color w:val="auto"/>
                <w:sz w:val="22"/>
                <w:szCs w:val="22"/>
                <w:lang w:eastAsia="sv-SE"/>
              </w:rPr>
              <w:tab/>
            </w:r>
            <w:r w:rsidRPr="003242BD">
              <w:rPr>
                <w:rStyle w:val="Hyperlnk"/>
                <w:noProof/>
              </w:rPr>
              <w:t>Vidtagna åtgärder för att nå ekonomi i balans</w:t>
            </w:r>
            <w:r>
              <w:rPr>
                <w:noProof/>
                <w:webHidden/>
              </w:rPr>
              <w:tab/>
            </w:r>
            <w:r>
              <w:rPr>
                <w:noProof/>
                <w:webHidden/>
              </w:rPr>
              <w:fldChar w:fldCharType="begin"/>
            </w:r>
            <w:r>
              <w:rPr>
                <w:noProof/>
                <w:webHidden/>
              </w:rPr>
              <w:instrText xml:space="preserve"> PAGEREF _Toc220678298 \h </w:instrText>
            </w:r>
            <w:r>
              <w:rPr>
                <w:noProof/>
                <w:webHidden/>
              </w:rPr>
            </w:r>
            <w:r>
              <w:rPr>
                <w:noProof/>
                <w:webHidden/>
              </w:rPr>
              <w:fldChar w:fldCharType="separate"/>
            </w:r>
            <w:r>
              <w:rPr>
                <w:noProof/>
                <w:webHidden/>
              </w:rPr>
              <w:t>26</w:t>
            </w:r>
            <w:r>
              <w:rPr>
                <w:noProof/>
                <w:webHidden/>
              </w:rPr>
              <w:fldChar w:fldCharType="end"/>
            </w:r>
          </w:hyperlink>
        </w:p>
        <w:p w14:paraId="2785A85A" w14:textId="77777777" w:rsidR="009C768E" w:rsidRDefault="009C768E">
          <w:pPr>
            <w:pStyle w:val="Innehll2"/>
            <w:tabs>
              <w:tab w:val="left" w:pos="1134"/>
            </w:tabs>
            <w:rPr>
              <w:rFonts w:asciiTheme="minorHAnsi" w:eastAsiaTheme="minorEastAsia" w:hAnsiTheme="minorHAnsi" w:cstheme="minorBidi"/>
              <w:noProof/>
              <w:color w:val="auto"/>
              <w:sz w:val="22"/>
              <w:szCs w:val="22"/>
              <w:lang w:eastAsia="sv-SE"/>
            </w:rPr>
          </w:pPr>
          <w:hyperlink w:anchor="_Toc220678299" w:history="1">
            <w:r w:rsidRPr="003242BD">
              <w:rPr>
                <w:rStyle w:val="Hyperlnk"/>
                <w:noProof/>
              </w:rPr>
              <w:t>4.4</w:t>
            </w:r>
            <w:r>
              <w:rPr>
                <w:rFonts w:asciiTheme="minorHAnsi" w:eastAsiaTheme="minorEastAsia" w:hAnsiTheme="minorHAnsi" w:cstheme="minorBidi"/>
                <w:noProof/>
                <w:color w:val="auto"/>
                <w:sz w:val="22"/>
                <w:szCs w:val="22"/>
                <w:lang w:eastAsia="sv-SE"/>
              </w:rPr>
              <w:tab/>
            </w:r>
            <w:r w:rsidRPr="003242BD">
              <w:rPr>
                <w:rStyle w:val="Hyperlnk"/>
                <w:noProof/>
              </w:rPr>
              <w:t>Produktions- och nyckeltal</w:t>
            </w:r>
            <w:r>
              <w:rPr>
                <w:noProof/>
                <w:webHidden/>
              </w:rPr>
              <w:tab/>
            </w:r>
            <w:r>
              <w:rPr>
                <w:noProof/>
                <w:webHidden/>
              </w:rPr>
              <w:fldChar w:fldCharType="begin"/>
            </w:r>
            <w:r>
              <w:rPr>
                <w:noProof/>
                <w:webHidden/>
              </w:rPr>
              <w:instrText xml:space="preserve"> PAGEREF _Toc220678299 \h </w:instrText>
            </w:r>
            <w:r>
              <w:rPr>
                <w:noProof/>
                <w:webHidden/>
              </w:rPr>
            </w:r>
            <w:r>
              <w:rPr>
                <w:noProof/>
                <w:webHidden/>
              </w:rPr>
              <w:fldChar w:fldCharType="separate"/>
            </w:r>
            <w:r>
              <w:rPr>
                <w:noProof/>
                <w:webHidden/>
              </w:rPr>
              <w:t>27</w:t>
            </w:r>
            <w:r>
              <w:rPr>
                <w:noProof/>
                <w:webHidden/>
              </w:rPr>
              <w:fldChar w:fldCharType="end"/>
            </w:r>
          </w:hyperlink>
        </w:p>
        <w:p w14:paraId="4D985D56" w14:textId="77777777" w:rsidR="009C768E" w:rsidRDefault="009C768E">
          <w:pPr>
            <w:pStyle w:val="Innehll1"/>
            <w:rPr>
              <w:rFonts w:asciiTheme="minorHAnsi" w:hAnsiTheme="minorHAnsi"/>
              <w:b w:val="0"/>
              <w:bCs w:val="0"/>
              <w:noProof/>
              <w:color w:val="auto"/>
              <w:sz w:val="22"/>
              <w:szCs w:val="22"/>
              <w:lang w:eastAsia="sv-SE"/>
            </w:rPr>
          </w:pPr>
          <w:hyperlink w:anchor="_Toc220678300" w:history="1">
            <w:r w:rsidRPr="003242BD">
              <w:rPr>
                <w:rStyle w:val="Hyperlnk"/>
                <w:noProof/>
              </w:rPr>
              <w:t>5</w:t>
            </w:r>
            <w:r>
              <w:rPr>
                <w:rFonts w:asciiTheme="minorHAnsi" w:hAnsiTheme="minorHAnsi"/>
                <w:b w:val="0"/>
                <w:bCs w:val="0"/>
                <w:noProof/>
                <w:color w:val="auto"/>
                <w:sz w:val="22"/>
                <w:szCs w:val="22"/>
                <w:lang w:eastAsia="sv-SE"/>
              </w:rPr>
              <w:tab/>
            </w:r>
            <w:r w:rsidRPr="003242BD">
              <w:rPr>
                <w:rStyle w:val="Hyperlnk"/>
                <w:noProof/>
              </w:rPr>
              <w:t>Personalekonomi</w:t>
            </w:r>
            <w:r>
              <w:rPr>
                <w:noProof/>
                <w:webHidden/>
              </w:rPr>
              <w:tab/>
            </w:r>
            <w:r>
              <w:rPr>
                <w:noProof/>
                <w:webHidden/>
              </w:rPr>
              <w:fldChar w:fldCharType="begin"/>
            </w:r>
            <w:r>
              <w:rPr>
                <w:noProof/>
                <w:webHidden/>
              </w:rPr>
              <w:instrText xml:space="preserve"> PAGEREF _Toc220678300 \h </w:instrText>
            </w:r>
            <w:r>
              <w:rPr>
                <w:noProof/>
                <w:webHidden/>
              </w:rPr>
            </w:r>
            <w:r>
              <w:rPr>
                <w:noProof/>
                <w:webHidden/>
              </w:rPr>
              <w:fldChar w:fldCharType="separate"/>
            </w:r>
            <w:r>
              <w:rPr>
                <w:noProof/>
                <w:webHidden/>
              </w:rPr>
              <w:t>27</w:t>
            </w:r>
            <w:r>
              <w:rPr>
                <w:noProof/>
                <w:webHidden/>
              </w:rPr>
              <w:fldChar w:fldCharType="end"/>
            </w:r>
          </w:hyperlink>
        </w:p>
        <w:p w14:paraId="69418182" w14:textId="77777777" w:rsidR="009C768E" w:rsidRDefault="009C768E">
          <w:pPr>
            <w:pStyle w:val="Innehll2"/>
            <w:tabs>
              <w:tab w:val="left" w:pos="1134"/>
            </w:tabs>
            <w:rPr>
              <w:rFonts w:asciiTheme="minorHAnsi" w:eastAsiaTheme="minorEastAsia" w:hAnsiTheme="minorHAnsi" w:cstheme="minorBidi"/>
              <w:noProof/>
              <w:color w:val="auto"/>
              <w:sz w:val="22"/>
              <w:szCs w:val="22"/>
              <w:lang w:eastAsia="sv-SE"/>
            </w:rPr>
          </w:pPr>
          <w:hyperlink w:anchor="_Toc220678301" w:history="1">
            <w:r w:rsidRPr="003242BD">
              <w:rPr>
                <w:rStyle w:val="Hyperlnk"/>
                <w:noProof/>
              </w:rPr>
              <w:t>5.1</w:t>
            </w:r>
            <w:r>
              <w:rPr>
                <w:rFonts w:asciiTheme="minorHAnsi" w:eastAsiaTheme="minorEastAsia" w:hAnsiTheme="minorHAnsi" w:cstheme="minorBidi"/>
                <w:noProof/>
                <w:color w:val="auto"/>
                <w:sz w:val="22"/>
                <w:szCs w:val="22"/>
                <w:lang w:eastAsia="sv-SE"/>
              </w:rPr>
              <w:tab/>
            </w:r>
            <w:r w:rsidRPr="003242BD">
              <w:rPr>
                <w:rStyle w:val="Hyperlnk"/>
                <w:noProof/>
              </w:rPr>
              <w:t>Personalkostnader</w:t>
            </w:r>
            <w:r>
              <w:rPr>
                <w:noProof/>
                <w:webHidden/>
              </w:rPr>
              <w:tab/>
            </w:r>
            <w:r>
              <w:rPr>
                <w:noProof/>
                <w:webHidden/>
              </w:rPr>
              <w:fldChar w:fldCharType="begin"/>
            </w:r>
            <w:r>
              <w:rPr>
                <w:noProof/>
                <w:webHidden/>
              </w:rPr>
              <w:instrText xml:space="preserve"> PAGEREF _Toc220678301 \h </w:instrText>
            </w:r>
            <w:r>
              <w:rPr>
                <w:noProof/>
                <w:webHidden/>
              </w:rPr>
            </w:r>
            <w:r>
              <w:rPr>
                <w:noProof/>
                <w:webHidden/>
              </w:rPr>
              <w:fldChar w:fldCharType="separate"/>
            </w:r>
            <w:r>
              <w:rPr>
                <w:noProof/>
                <w:webHidden/>
              </w:rPr>
              <w:t>27</w:t>
            </w:r>
            <w:r>
              <w:rPr>
                <w:noProof/>
                <w:webHidden/>
              </w:rPr>
              <w:fldChar w:fldCharType="end"/>
            </w:r>
          </w:hyperlink>
        </w:p>
        <w:p w14:paraId="11124D31" w14:textId="77777777" w:rsidR="009C768E" w:rsidRDefault="009C768E">
          <w:pPr>
            <w:pStyle w:val="Innehll2"/>
            <w:tabs>
              <w:tab w:val="left" w:pos="1134"/>
            </w:tabs>
            <w:rPr>
              <w:rFonts w:asciiTheme="minorHAnsi" w:eastAsiaTheme="minorEastAsia" w:hAnsiTheme="minorHAnsi" w:cstheme="minorBidi"/>
              <w:noProof/>
              <w:color w:val="auto"/>
              <w:sz w:val="22"/>
              <w:szCs w:val="22"/>
              <w:lang w:eastAsia="sv-SE"/>
            </w:rPr>
          </w:pPr>
          <w:hyperlink w:anchor="_Toc220678302" w:history="1">
            <w:r w:rsidRPr="003242BD">
              <w:rPr>
                <w:rStyle w:val="Hyperlnk"/>
                <w:noProof/>
              </w:rPr>
              <w:t>5.2</w:t>
            </w:r>
            <w:r>
              <w:rPr>
                <w:rFonts w:asciiTheme="minorHAnsi" w:eastAsiaTheme="minorEastAsia" w:hAnsiTheme="minorHAnsi" w:cstheme="minorBidi"/>
                <w:noProof/>
                <w:color w:val="auto"/>
                <w:sz w:val="22"/>
                <w:szCs w:val="22"/>
                <w:lang w:eastAsia="sv-SE"/>
              </w:rPr>
              <w:tab/>
            </w:r>
            <w:r w:rsidRPr="003242BD">
              <w:rPr>
                <w:rStyle w:val="Hyperlnk"/>
                <w:noProof/>
              </w:rPr>
              <w:t>Kostnadsanalys</w:t>
            </w:r>
            <w:r>
              <w:rPr>
                <w:noProof/>
                <w:webHidden/>
              </w:rPr>
              <w:tab/>
            </w:r>
            <w:r>
              <w:rPr>
                <w:noProof/>
                <w:webHidden/>
              </w:rPr>
              <w:fldChar w:fldCharType="begin"/>
            </w:r>
            <w:r>
              <w:rPr>
                <w:noProof/>
                <w:webHidden/>
              </w:rPr>
              <w:instrText xml:space="preserve"> PAGEREF _Toc220678302 \h </w:instrText>
            </w:r>
            <w:r>
              <w:rPr>
                <w:noProof/>
                <w:webHidden/>
              </w:rPr>
            </w:r>
            <w:r>
              <w:rPr>
                <w:noProof/>
                <w:webHidden/>
              </w:rPr>
              <w:fldChar w:fldCharType="separate"/>
            </w:r>
            <w:r>
              <w:rPr>
                <w:noProof/>
                <w:webHidden/>
              </w:rPr>
              <w:t>27</w:t>
            </w:r>
            <w:r>
              <w:rPr>
                <w:noProof/>
                <w:webHidden/>
              </w:rPr>
              <w:fldChar w:fldCharType="end"/>
            </w:r>
          </w:hyperlink>
        </w:p>
        <w:p w14:paraId="06281909" w14:textId="77777777" w:rsidR="009C768E" w:rsidRDefault="009C768E">
          <w:pPr>
            <w:pStyle w:val="Innehll2"/>
            <w:tabs>
              <w:tab w:val="left" w:pos="1134"/>
            </w:tabs>
            <w:rPr>
              <w:rFonts w:asciiTheme="minorHAnsi" w:eastAsiaTheme="minorEastAsia" w:hAnsiTheme="minorHAnsi" w:cstheme="minorBidi"/>
              <w:noProof/>
              <w:color w:val="auto"/>
              <w:sz w:val="22"/>
              <w:szCs w:val="22"/>
              <w:lang w:eastAsia="sv-SE"/>
            </w:rPr>
          </w:pPr>
          <w:hyperlink w:anchor="_Toc220678303" w:history="1">
            <w:r w:rsidRPr="003242BD">
              <w:rPr>
                <w:rStyle w:val="Hyperlnk"/>
                <w:noProof/>
              </w:rPr>
              <w:t>5.3</w:t>
            </w:r>
            <w:r>
              <w:rPr>
                <w:rFonts w:asciiTheme="minorHAnsi" w:eastAsiaTheme="minorEastAsia" w:hAnsiTheme="minorHAnsi" w:cstheme="minorBidi"/>
                <w:noProof/>
                <w:color w:val="auto"/>
                <w:sz w:val="22"/>
                <w:szCs w:val="22"/>
                <w:lang w:eastAsia="sv-SE"/>
              </w:rPr>
              <w:tab/>
            </w:r>
            <w:r w:rsidRPr="003242BD">
              <w:rPr>
                <w:rStyle w:val="Hyperlnk"/>
                <w:noProof/>
              </w:rPr>
              <w:t>Årsarbetare tillsvidareanställda avtalad sysselsättningsgrad</w:t>
            </w:r>
            <w:r>
              <w:rPr>
                <w:noProof/>
                <w:webHidden/>
              </w:rPr>
              <w:tab/>
            </w:r>
            <w:r>
              <w:rPr>
                <w:noProof/>
                <w:webHidden/>
              </w:rPr>
              <w:fldChar w:fldCharType="begin"/>
            </w:r>
            <w:r>
              <w:rPr>
                <w:noProof/>
                <w:webHidden/>
              </w:rPr>
              <w:instrText xml:space="preserve"> PAGEREF _Toc220678303 \h </w:instrText>
            </w:r>
            <w:r>
              <w:rPr>
                <w:noProof/>
                <w:webHidden/>
              </w:rPr>
            </w:r>
            <w:r>
              <w:rPr>
                <w:noProof/>
                <w:webHidden/>
              </w:rPr>
              <w:fldChar w:fldCharType="separate"/>
            </w:r>
            <w:r>
              <w:rPr>
                <w:noProof/>
                <w:webHidden/>
              </w:rPr>
              <w:t>28</w:t>
            </w:r>
            <w:r>
              <w:rPr>
                <w:noProof/>
                <w:webHidden/>
              </w:rPr>
              <w:fldChar w:fldCharType="end"/>
            </w:r>
          </w:hyperlink>
        </w:p>
        <w:p w14:paraId="4B5525A4" w14:textId="77777777" w:rsidR="009C768E" w:rsidRDefault="009C768E">
          <w:pPr>
            <w:pStyle w:val="Innehll2"/>
            <w:tabs>
              <w:tab w:val="left" w:pos="1134"/>
            </w:tabs>
            <w:rPr>
              <w:rFonts w:asciiTheme="minorHAnsi" w:eastAsiaTheme="minorEastAsia" w:hAnsiTheme="minorHAnsi" w:cstheme="minorBidi"/>
              <w:noProof/>
              <w:color w:val="auto"/>
              <w:sz w:val="22"/>
              <w:szCs w:val="22"/>
              <w:lang w:eastAsia="sv-SE"/>
            </w:rPr>
          </w:pPr>
          <w:hyperlink w:anchor="_Toc220678304" w:history="1">
            <w:r w:rsidRPr="003242BD">
              <w:rPr>
                <w:rStyle w:val="Hyperlnk"/>
                <w:noProof/>
              </w:rPr>
              <w:t>5.4</w:t>
            </w:r>
            <w:r>
              <w:rPr>
                <w:rFonts w:asciiTheme="minorHAnsi" w:eastAsiaTheme="minorEastAsia" w:hAnsiTheme="minorHAnsi" w:cstheme="minorBidi"/>
                <w:noProof/>
                <w:color w:val="auto"/>
                <w:sz w:val="22"/>
                <w:szCs w:val="22"/>
                <w:lang w:eastAsia="sv-SE"/>
              </w:rPr>
              <w:tab/>
            </w:r>
            <w:r w:rsidRPr="003242BD">
              <w:rPr>
                <w:rStyle w:val="Hyperlnk"/>
                <w:noProof/>
              </w:rPr>
              <w:t>Årsarbetare exklusive tjänstlediga</w:t>
            </w:r>
            <w:r>
              <w:rPr>
                <w:noProof/>
                <w:webHidden/>
              </w:rPr>
              <w:tab/>
            </w:r>
            <w:r>
              <w:rPr>
                <w:noProof/>
                <w:webHidden/>
              </w:rPr>
              <w:fldChar w:fldCharType="begin"/>
            </w:r>
            <w:r>
              <w:rPr>
                <w:noProof/>
                <w:webHidden/>
              </w:rPr>
              <w:instrText xml:space="preserve"> PAGEREF _Toc220678304 \h </w:instrText>
            </w:r>
            <w:r>
              <w:rPr>
                <w:noProof/>
                <w:webHidden/>
              </w:rPr>
            </w:r>
            <w:r>
              <w:rPr>
                <w:noProof/>
                <w:webHidden/>
              </w:rPr>
              <w:fldChar w:fldCharType="separate"/>
            </w:r>
            <w:r>
              <w:rPr>
                <w:noProof/>
                <w:webHidden/>
              </w:rPr>
              <w:t>29</w:t>
            </w:r>
            <w:r>
              <w:rPr>
                <w:noProof/>
                <w:webHidden/>
              </w:rPr>
              <w:fldChar w:fldCharType="end"/>
            </w:r>
          </w:hyperlink>
        </w:p>
        <w:p w14:paraId="1C91E756" w14:textId="77777777" w:rsidR="009C768E" w:rsidRDefault="009C768E">
          <w:pPr>
            <w:pStyle w:val="Innehll2"/>
            <w:tabs>
              <w:tab w:val="left" w:pos="1134"/>
            </w:tabs>
            <w:rPr>
              <w:rFonts w:asciiTheme="minorHAnsi" w:eastAsiaTheme="minorEastAsia" w:hAnsiTheme="minorHAnsi" w:cstheme="minorBidi"/>
              <w:noProof/>
              <w:color w:val="auto"/>
              <w:sz w:val="22"/>
              <w:szCs w:val="22"/>
              <w:lang w:eastAsia="sv-SE"/>
            </w:rPr>
          </w:pPr>
          <w:hyperlink w:anchor="_Toc220678305" w:history="1">
            <w:r w:rsidRPr="003242BD">
              <w:rPr>
                <w:rStyle w:val="Hyperlnk"/>
                <w:noProof/>
              </w:rPr>
              <w:t>5.5</w:t>
            </w:r>
            <w:r>
              <w:rPr>
                <w:rFonts w:asciiTheme="minorHAnsi" w:eastAsiaTheme="minorEastAsia" w:hAnsiTheme="minorHAnsi" w:cstheme="minorBidi"/>
                <w:noProof/>
                <w:color w:val="auto"/>
                <w:sz w:val="22"/>
                <w:szCs w:val="22"/>
                <w:lang w:eastAsia="sv-SE"/>
              </w:rPr>
              <w:tab/>
            </w:r>
            <w:r w:rsidRPr="003242BD">
              <w:rPr>
                <w:rStyle w:val="Hyperlnk"/>
                <w:noProof/>
              </w:rPr>
              <w:t>Sjukfrånvaro</w:t>
            </w:r>
            <w:r>
              <w:rPr>
                <w:noProof/>
                <w:webHidden/>
              </w:rPr>
              <w:tab/>
            </w:r>
            <w:r>
              <w:rPr>
                <w:noProof/>
                <w:webHidden/>
              </w:rPr>
              <w:fldChar w:fldCharType="begin"/>
            </w:r>
            <w:r>
              <w:rPr>
                <w:noProof/>
                <w:webHidden/>
              </w:rPr>
              <w:instrText xml:space="preserve"> PAGEREF _Toc220678305 \h </w:instrText>
            </w:r>
            <w:r>
              <w:rPr>
                <w:noProof/>
                <w:webHidden/>
              </w:rPr>
            </w:r>
            <w:r>
              <w:rPr>
                <w:noProof/>
                <w:webHidden/>
              </w:rPr>
              <w:fldChar w:fldCharType="separate"/>
            </w:r>
            <w:r>
              <w:rPr>
                <w:noProof/>
                <w:webHidden/>
              </w:rPr>
              <w:t>30</w:t>
            </w:r>
            <w:r>
              <w:rPr>
                <w:noProof/>
                <w:webHidden/>
              </w:rPr>
              <w:fldChar w:fldCharType="end"/>
            </w:r>
          </w:hyperlink>
        </w:p>
        <w:p w14:paraId="24649128" w14:textId="77777777" w:rsidR="009C768E" w:rsidRDefault="009C768E">
          <w:pPr>
            <w:pStyle w:val="Innehll1"/>
            <w:rPr>
              <w:rFonts w:asciiTheme="minorHAnsi" w:hAnsiTheme="minorHAnsi"/>
              <w:b w:val="0"/>
              <w:bCs w:val="0"/>
              <w:noProof/>
              <w:color w:val="auto"/>
              <w:sz w:val="22"/>
              <w:szCs w:val="22"/>
              <w:lang w:eastAsia="sv-SE"/>
            </w:rPr>
          </w:pPr>
          <w:hyperlink w:anchor="_Toc220678306" w:history="1">
            <w:r w:rsidRPr="003242BD">
              <w:rPr>
                <w:rStyle w:val="Hyperlnk"/>
                <w:noProof/>
              </w:rPr>
              <w:t>6</w:t>
            </w:r>
            <w:r>
              <w:rPr>
                <w:rFonts w:asciiTheme="minorHAnsi" w:hAnsiTheme="minorHAnsi"/>
                <w:b w:val="0"/>
                <w:bCs w:val="0"/>
                <w:noProof/>
                <w:color w:val="auto"/>
                <w:sz w:val="22"/>
                <w:szCs w:val="22"/>
                <w:lang w:eastAsia="sv-SE"/>
              </w:rPr>
              <w:tab/>
            </w:r>
            <w:r w:rsidRPr="003242BD">
              <w:rPr>
                <w:rStyle w:val="Hyperlnk"/>
                <w:noProof/>
              </w:rPr>
              <w:t>Framtida utmaningar</w:t>
            </w:r>
            <w:r>
              <w:rPr>
                <w:noProof/>
                <w:webHidden/>
              </w:rPr>
              <w:tab/>
            </w:r>
            <w:r>
              <w:rPr>
                <w:noProof/>
                <w:webHidden/>
              </w:rPr>
              <w:fldChar w:fldCharType="begin"/>
            </w:r>
            <w:r>
              <w:rPr>
                <w:noProof/>
                <w:webHidden/>
              </w:rPr>
              <w:instrText xml:space="preserve"> PAGEREF _Toc220678306 \h </w:instrText>
            </w:r>
            <w:r>
              <w:rPr>
                <w:noProof/>
                <w:webHidden/>
              </w:rPr>
            </w:r>
            <w:r>
              <w:rPr>
                <w:noProof/>
                <w:webHidden/>
              </w:rPr>
              <w:fldChar w:fldCharType="separate"/>
            </w:r>
            <w:r>
              <w:rPr>
                <w:noProof/>
                <w:webHidden/>
              </w:rPr>
              <w:t>30</w:t>
            </w:r>
            <w:r>
              <w:rPr>
                <w:noProof/>
                <w:webHidden/>
              </w:rPr>
              <w:fldChar w:fldCharType="end"/>
            </w:r>
          </w:hyperlink>
        </w:p>
        <w:p w14:paraId="412166E0" w14:textId="77777777" w:rsidR="009C768E" w:rsidRDefault="009C768E">
          <w:pPr>
            <w:pStyle w:val="Innehll1"/>
            <w:rPr>
              <w:rFonts w:asciiTheme="minorHAnsi" w:hAnsiTheme="minorHAnsi"/>
              <w:b w:val="0"/>
              <w:bCs w:val="0"/>
              <w:noProof/>
              <w:color w:val="auto"/>
              <w:sz w:val="22"/>
              <w:szCs w:val="22"/>
              <w:lang w:eastAsia="sv-SE"/>
            </w:rPr>
          </w:pPr>
          <w:hyperlink w:anchor="_Toc220678307" w:history="1">
            <w:r w:rsidRPr="003242BD">
              <w:rPr>
                <w:rStyle w:val="Hyperlnk"/>
                <w:noProof/>
              </w:rPr>
              <w:t>7</w:t>
            </w:r>
            <w:r>
              <w:rPr>
                <w:rFonts w:asciiTheme="minorHAnsi" w:hAnsiTheme="minorHAnsi"/>
                <w:b w:val="0"/>
                <w:bCs w:val="0"/>
                <w:noProof/>
                <w:color w:val="auto"/>
                <w:sz w:val="22"/>
                <w:szCs w:val="22"/>
                <w:lang w:eastAsia="sv-SE"/>
              </w:rPr>
              <w:tab/>
            </w:r>
            <w:r w:rsidRPr="003242BD">
              <w:rPr>
                <w:rStyle w:val="Hyperlnk"/>
                <w:noProof/>
              </w:rPr>
              <w:t>Intern styrning och kontroll</w:t>
            </w:r>
            <w:r>
              <w:rPr>
                <w:noProof/>
                <w:webHidden/>
              </w:rPr>
              <w:tab/>
            </w:r>
            <w:r>
              <w:rPr>
                <w:noProof/>
                <w:webHidden/>
              </w:rPr>
              <w:fldChar w:fldCharType="begin"/>
            </w:r>
            <w:r>
              <w:rPr>
                <w:noProof/>
                <w:webHidden/>
              </w:rPr>
              <w:instrText xml:space="preserve"> PAGEREF _Toc220678307 \h </w:instrText>
            </w:r>
            <w:r>
              <w:rPr>
                <w:noProof/>
                <w:webHidden/>
              </w:rPr>
            </w:r>
            <w:r>
              <w:rPr>
                <w:noProof/>
                <w:webHidden/>
              </w:rPr>
              <w:fldChar w:fldCharType="separate"/>
            </w:r>
            <w:r>
              <w:rPr>
                <w:noProof/>
                <w:webHidden/>
              </w:rPr>
              <w:t>32</w:t>
            </w:r>
            <w:r>
              <w:rPr>
                <w:noProof/>
                <w:webHidden/>
              </w:rPr>
              <w:fldChar w:fldCharType="end"/>
            </w:r>
          </w:hyperlink>
        </w:p>
        <w:p w14:paraId="397473D2" w14:textId="77777777" w:rsidR="009C768E" w:rsidRDefault="009C768E">
          <w:pPr>
            <w:pStyle w:val="Innehll2"/>
            <w:tabs>
              <w:tab w:val="left" w:pos="1134"/>
            </w:tabs>
            <w:rPr>
              <w:rFonts w:asciiTheme="minorHAnsi" w:eastAsiaTheme="minorEastAsia" w:hAnsiTheme="minorHAnsi" w:cstheme="minorBidi"/>
              <w:noProof/>
              <w:color w:val="auto"/>
              <w:sz w:val="22"/>
              <w:szCs w:val="22"/>
              <w:lang w:eastAsia="sv-SE"/>
            </w:rPr>
          </w:pPr>
          <w:hyperlink w:anchor="_Toc220678308" w:history="1">
            <w:r w:rsidRPr="003242BD">
              <w:rPr>
                <w:rStyle w:val="Hyperlnk"/>
                <w:noProof/>
              </w:rPr>
              <w:t>7.1</w:t>
            </w:r>
            <w:r>
              <w:rPr>
                <w:rFonts w:asciiTheme="minorHAnsi" w:eastAsiaTheme="minorEastAsia" w:hAnsiTheme="minorHAnsi" w:cstheme="minorBidi"/>
                <w:noProof/>
                <w:color w:val="auto"/>
                <w:sz w:val="22"/>
                <w:szCs w:val="22"/>
                <w:lang w:eastAsia="sv-SE"/>
              </w:rPr>
              <w:tab/>
            </w:r>
            <w:r w:rsidRPr="003242BD">
              <w:rPr>
                <w:rStyle w:val="Hyperlnk"/>
                <w:noProof/>
              </w:rPr>
              <w:t>Internkontrollplan</w:t>
            </w:r>
            <w:r>
              <w:rPr>
                <w:noProof/>
                <w:webHidden/>
              </w:rPr>
              <w:tab/>
            </w:r>
            <w:r>
              <w:rPr>
                <w:noProof/>
                <w:webHidden/>
              </w:rPr>
              <w:fldChar w:fldCharType="begin"/>
            </w:r>
            <w:r>
              <w:rPr>
                <w:noProof/>
                <w:webHidden/>
              </w:rPr>
              <w:instrText xml:space="preserve"> PAGEREF _Toc220678308 \h </w:instrText>
            </w:r>
            <w:r>
              <w:rPr>
                <w:noProof/>
                <w:webHidden/>
              </w:rPr>
            </w:r>
            <w:r>
              <w:rPr>
                <w:noProof/>
                <w:webHidden/>
              </w:rPr>
              <w:fldChar w:fldCharType="separate"/>
            </w:r>
            <w:r>
              <w:rPr>
                <w:noProof/>
                <w:webHidden/>
              </w:rPr>
              <w:t>32</w:t>
            </w:r>
            <w:r>
              <w:rPr>
                <w:noProof/>
                <w:webHidden/>
              </w:rPr>
              <w:fldChar w:fldCharType="end"/>
            </w:r>
          </w:hyperlink>
        </w:p>
        <w:p w14:paraId="438C0DF7" w14:textId="77777777" w:rsidR="009C768E" w:rsidRDefault="009C768E">
          <w:pPr>
            <w:pStyle w:val="Innehll2"/>
            <w:tabs>
              <w:tab w:val="left" w:pos="1134"/>
            </w:tabs>
            <w:rPr>
              <w:rFonts w:asciiTheme="minorHAnsi" w:eastAsiaTheme="minorEastAsia" w:hAnsiTheme="minorHAnsi" w:cstheme="minorBidi"/>
              <w:noProof/>
              <w:color w:val="auto"/>
              <w:sz w:val="22"/>
              <w:szCs w:val="22"/>
              <w:lang w:eastAsia="sv-SE"/>
            </w:rPr>
          </w:pPr>
          <w:hyperlink w:anchor="_Toc220678309" w:history="1">
            <w:r w:rsidRPr="003242BD">
              <w:rPr>
                <w:rStyle w:val="Hyperlnk"/>
                <w:noProof/>
              </w:rPr>
              <w:t>7.2</w:t>
            </w:r>
            <w:r>
              <w:rPr>
                <w:rFonts w:asciiTheme="minorHAnsi" w:eastAsiaTheme="minorEastAsia" w:hAnsiTheme="minorHAnsi" w:cstheme="minorBidi"/>
                <w:noProof/>
                <w:color w:val="auto"/>
                <w:sz w:val="22"/>
                <w:szCs w:val="22"/>
                <w:lang w:eastAsia="sv-SE"/>
              </w:rPr>
              <w:tab/>
            </w:r>
            <w:r w:rsidRPr="003242BD">
              <w:rPr>
                <w:rStyle w:val="Hyperlnk"/>
                <w:noProof/>
              </w:rPr>
              <w:t>ISK-bedömning</w:t>
            </w:r>
            <w:r>
              <w:rPr>
                <w:noProof/>
                <w:webHidden/>
              </w:rPr>
              <w:tab/>
            </w:r>
            <w:r>
              <w:rPr>
                <w:noProof/>
                <w:webHidden/>
              </w:rPr>
              <w:fldChar w:fldCharType="begin"/>
            </w:r>
            <w:r>
              <w:rPr>
                <w:noProof/>
                <w:webHidden/>
              </w:rPr>
              <w:instrText xml:space="preserve"> PAGEREF _Toc220678309 \h </w:instrText>
            </w:r>
            <w:r>
              <w:rPr>
                <w:noProof/>
                <w:webHidden/>
              </w:rPr>
            </w:r>
            <w:r>
              <w:rPr>
                <w:noProof/>
                <w:webHidden/>
              </w:rPr>
              <w:fldChar w:fldCharType="separate"/>
            </w:r>
            <w:r>
              <w:rPr>
                <w:noProof/>
                <w:webHidden/>
              </w:rPr>
              <w:t>35</w:t>
            </w:r>
            <w:r>
              <w:rPr>
                <w:noProof/>
                <w:webHidden/>
              </w:rPr>
              <w:fldChar w:fldCharType="end"/>
            </w:r>
          </w:hyperlink>
        </w:p>
        <w:p w14:paraId="6F008BED" w14:textId="77777777" w:rsidR="00795E60" w:rsidRDefault="00F56376">
          <w:r>
            <w:fldChar w:fldCharType="end"/>
          </w:r>
        </w:p>
      </w:sdtContent>
    </w:sdt>
    <w:p w14:paraId="03050314" w14:textId="77777777" w:rsidR="00795E60" w:rsidRDefault="00F56376">
      <w:r>
        <w:br w:type="page"/>
      </w:r>
    </w:p>
    <w:p w14:paraId="7253D308" w14:textId="77777777" w:rsidR="00795E60" w:rsidRDefault="00F56376">
      <w:pPr>
        <w:pStyle w:val="Rubrik1"/>
      </w:pPr>
      <w:bookmarkStart w:id="0" w:name="_Toc220678290"/>
      <w:r>
        <w:lastRenderedPageBreak/>
        <w:t>Inledning</w:t>
      </w:r>
      <w:bookmarkEnd w:id="0"/>
    </w:p>
    <w:p w14:paraId="14D3BFAA" w14:textId="77777777" w:rsidR="00795E60" w:rsidRDefault="00F56376">
      <w:pPr>
        <w:pStyle w:val="BodyText"/>
        <w:widowControl w:val="0"/>
      </w:pPr>
      <w:r>
        <w:t>Uppföljningen i kulturnämndens verksamhetsberättelse utgår från kulturnämndens verksamhetsplan. Verksamhetsplanen utgår i sin tur från förutsättningar, mål, inriktningar och ambitioner i regionfullmäktiges verksamhetsplan. Andra utgångspunkter för verksamhetsplanen är kulturnämndens/Område kultur och ideell sektors mål, uppdrag och strategier utifrån den regionala utvecklingsstrategin, den regionala kulturplanen och planen för civilsamhälle och social ekonomi.</w:t>
      </w:r>
    </w:p>
    <w:p w14:paraId="1A6C9A94" w14:textId="77777777" w:rsidR="00795E60" w:rsidRDefault="00F56376">
      <w:pPr>
        <w:pStyle w:val="Rubrik1"/>
      </w:pPr>
      <w:bookmarkStart w:id="1" w:name="_Toc220678291"/>
      <w:r>
        <w:t>Väsentliga händelser</w:t>
      </w:r>
      <w:bookmarkEnd w:id="1"/>
    </w:p>
    <w:p w14:paraId="5372CD9F" w14:textId="77777777" w:rsidR="00795E60" w:rsidRDefault="00F56376">
      <w:pPr>
        <w:pStyle w:val="BodyText"/>
        <w:widowControl w:val="0"/>
      </w:pPr>
      <w:r>
        <w:rPr>
          <w:b/>
        </w:rPr>
        <w:t>KULTUR</w:t>
      </w:r>
    </w:p>
    <w:p w14:paraId="76472CE4" w14:textId="77777777" w:rsidR="00795E60" w:rsidRDefault="00F56376">
      <w:pPr>
        <w:pStyle w:val="BodyText"/>
        <w:widowControl w:val="0"/>
        <w:numPr>
          <w:ilvl w:val="0"/>
          <w:numId w:val="19"/>
        </w:numPr>
        <w:spacing w:after="0"/>
      </w:pPr>
      <w:r>
        <w:t>Det ekonomiska läget</w:t>
      </w:r>
    </w:p>
    <w:p w14:paraId="239228C1" w14:textId="77777777" w:rsidR="00795E60" w:rsidRDefault="00F56376">
      <w:pPr>
        <w:pStyle w:val="BodyText"/>
        <w:widowControl w:val="0"/>
        <w:numPr>
          <w:ilvl w:val="0"/>
          <w:numId w:val="19"/>
        </w:numPr>
        <w:spacing w:after="0"/>
      </w:pPr>
      <w:r>
        <w:t>Allvarliga händelser i omvärlden (Kris och beredskap)</w:t>
      </w:r>
    </w:p>
    <w:p w14:paraId="39324CC1" w14:textId="77777777" w:rsidR="00795E60" w:rsidRDefault="00F56376">
      <w:pPr>
        <w:pStyle w:val="BodyText"/>
        <w:widowControl w:val="0"/>
        <w:numPr>
          <w:ilvl w:val="0"/>
          <w:numId w:val="19"/>
        </w:numPr>
      </w:pPr>
      <w:r>
        <w:t>Eventuell förändring av kultursamverkansmodellen</w:t>
      </w:r>
    </w:p>
    <w:p w14:paraId="59B75D61" w14:textId="77777777" w:rsidR="00795E60" w:rsidRDefault="00F56376">
      <w:pPr>
        <w:pStyle w:val="BodyText"/>
        <w:widowControl w:val="0"/>
      </w:pPr>
      <w:r>
        <w:rPr>
          <w:b/>
        </w:rPr>
        <w:t xml:space="preserve">Det ekonomiska läget </w:t>
      </w:r>
    </w:p>
    <w:p w14:paraId="6A864733" w14:textId="77777777" w:rsidR="00795E60" w:rsidRDefault="00F56376">
      <w:pPr>
        <w:pStyle w:val="BodyText"/>
        <w:widowControl w:val="0"/>
      </w:pPr>
      <w:r>
        <w:t xml:space="preserve">Den statliga kulturbudgeten för 2026 uppgår till 6,9 miljarder kronor, vilket </w:t>
      </w:r>
      <w:r>
        <w:t>motsvarar 0,62 procent av rikets totala budget – den lägsta andelen sedan år 2000. Inom kultursamverkansmodellen har Statens kulturråd 2025, för första gången sedan modellens införande 2011, genomfört neddragningar av medel. Region Örebro län har valt att prioritera aktörerna inom kultursamverkansmodellen och har räknat upp den regionala delen med 2,4 procent.</w:t>
      </w:r>
    </w:p>
    <w:p w14:paraId="3C665E1F" w14:textId="77777777" w:rsidR="00795E60" w:rsidRDefault="00F56376">
      <w:pPr>
        <w:pStyle w:val="BodyText"/>
        <w:widowControl w:val="0"/>
      </w:pPr>
      <w:r>
        <w:t>Örebro läns museum har meddelat behov av ökad ramfinansiering inför återöppnandet av den huvudsakliga utställningsverksamheten på Engelbrektsgatan i Örebro år 2027. Flera mindre regionalt finansierade verksamheter har under året signalerat ekonomiska svårigheter. Frövifors pappersbruksmuseum har meddelat att de riskerar konkurs vid årsskiftet om inte åtgärder vidtas.</w:t>
      </w:r>
    </w:p>
    <w:p w14:paraId="3E35A8FF" w14:textId="77777777" w:rsidR="00795E60" w:rsidRDefault="00F56376">
      <w:pPr>
        <w:pStyle w:val="BodyText"/>
        <w:widowControl w:val="0"/>
      </w:pPr>
      <w:r>
        <w:t>Medlen till folkbildningen har minskats både nationellt och regionalt, vilket påverkar möjligheterna att skapa och ta del av kultur i hela länet. Flera studieförbund har tvingats säga upp lokaler och minska personalstyrkan, något som särskilt drabbar landsbygdskommunerna.</w:t>
      </w:r>
    </w:p>
    <w:p w14:paraId="2BA12165" w14:textId="77777777" w:rsidR="00795E60" w:rsidRDefault="00F56376">
      <w:pPr>
        <w:pStyle w:val="BodyText"/>
        <w:widowControl w:val="0"/>
      </w:pPr>
      <w:r>
        <w:t>Det pågår politiska diskussioner på både nationell och regional nivå om behovet av att kulturverksamheter och civilsamhället kompletterar sin finansiering. Regeringen har tillsatt en utredning med syfte att ta fram förslag på hur den icke-offentliga kulturfinansieringen kan öka genom ekonomiska incitament. Utredningen ska redovisas våren 2026.</w:t>
      </w:r>
    </w:p>
    <w:p w14:paraId="5F8AE29A" w14:textId="77777777" w:rsidR="00795E60" w:rsidRDefault="00F56376">
      <w:pPr>
        <w:pStyle w:val="BodyText"/>
        <w:widowControl w:val="0"/>
      </w:pPr>
      <w:r>
        <w:rPr>
          <w:b/>
        </w:rPr>
        <w:t>Allvarliga händelser i omvärlden (Kris och beredskap)</w:t>
      </w:r>
    </w:p>
    <w:p w14:paraId="6E240FA6" w14:textId="77777777" w:rsidR="00795E60" w:rsidRDefault="00F56376">
      <w:pPr>
        <w:pStyle w:val="BodyText"/>
        <w:widowControl w:val="0"/>
      </w:pPr>
      <w:r>
        <w:t>Förstörelsen av kulturarv i krigsdrabbade områden har tydliggjort behovet av att stärka arbetet med kulturarvsfrågor. Kultur och kulturarv riskerar, liksom andra samhällssektorer, att drabbas av klimatkatastrofer och cyberattacker. Även konstnärlig frihet och kulturinstitutioner kan påverkas vid kris eller krig. Det kan försvaga yttrandefriheten och demokratin.</w:t>
      </w:r>
    </w:p>
    <w:p w14:paraId="78794E1C" w14:textId="77777777" w:rsidR="00795E60" w:rsidRDefault="00F56376">
      <w:pPr>
        <w:pStyle w:val="BodyText"/>
        <w:widowControl w:val="0"/>
      </w:pPr>
      <w:r>
        <w:t xml:space="preserve">Kulturarv finns med på MSB:s lista över samhällsviktiga funktioner som ska prioriteras vid kris eller krig. Det har konstaterats att väl fungerande verksamheter och strukturer måste etableras redan i fredstid. Verksamheterna behöver också genomföra riskanalyser, ta fram katastrofplaner och göra prioriteringar. De </w:t>
      </w:r>
      <w:r>
        <w:lastRenderedPageBreak/>
        <w:t>regionalt finansierade kulturarvsverksamheterna i länet berörs av detta och Örebro läns museum bedöms ha kommit längst i arbetet. Även bibliotek är klassat som en samhällsviktig funktion vid kris eller krig. Det kan påverka den regionala biblioteksverksamheten hos Region Örebro län som har i uppdrag att främja folkbibliotekens utveckling i länet.</w:t>
      </w:r>
    </w:p>
    <w:p w14:paraId="60B67D48" w14:textId="77777777" w:rsidR="00795E60" w:rsidRDefault="00F56376">
      <w:pPr>
        <w:pStyle w:val="BodyText"/>
        <w:widowControl w:val="0"/>
      </w:pPr>
      <w:r>
        <w:t>Under hösten 2025 anordnade Region Örebro län, i samverkan med Region Dalarna och Region Värmland, en kulturpolitisk konferens med fokus på beredskap och konstnärlig frihet. Målgruppen var länets kulturpolitiker samt utvalda tjänstepersoner. Inom den regionala biblioteksverksamheten har kompetenshöjande insatser genomförts gentemot folkbiblioteken kopplat till kris och beredskap.</w:t>
      </w:r>
    </w:p>
    <w:p w14:paraId="53F12FC3" w14:textId="77777777" w:rsidR="00795E60" w:rsidRDefault="00F56376">
      <w:pPr>
        <w:pStyle w:val="BodyText"/>
        <w:widowControl w:val="0"/>
      </w:pPr>
      <w:r>
        <w:rPr>
          <w:b/>
        </w:rPr>
        <w:t>Förändring av kultursamverkansmodellen</w:t>
      </w:r>
    </w:p>
    <w:p w14:paraId="66C2284D" w14:textId="77777777" w:rsidR="00795E60" w:rsidRDefault="00F56376">
      <w:pPr>
        <w:pStyle w:val="BodyText"/>
        <w:widowControl w:val="0"/>
      </w:pPr>
      <w:r>
        <w:t>Den 15 oktober publicerade Statens kulturråd en rapport med förslag på hur kultursamverkansmodellen bör vidareutvecklas. Förslaget omfattar bland annat en stärkt roll för kommuner som finansierar aktörer i modellen. De föreslås få ökat inflytande över hur medlen fördelas och används samt bli en tydligare dialogpart gentemot staten. Ytterligare ett förslag handlar om att stärka samverkan mellan stat, regioner och kommuner kopplat till genomförandet av de nationella kulturpolitiska målen. Region Örebro län ha</w:t>
      </w:r>
      <w:r>
        <w:t>r diskuterat trepartssamverkan med länets kommuner.</w:t>
      </w:r>
    </w:p>
    <w:p w14:paraId="4190F15B" w14:textId="77777777" w:rsidR="00795E60" w:rsidRDefault="00F56376">
      <w:pPr>
        <w:pStyle w:val="BodyText"/>
        <w:widowControl w:val="0"/>
      </w:pPr>
      <w:r>
        <w:rPr>
          <w:b/>
        </w:rPr>
        <w:t>CIVILSAMHÄLLE</w:t>
      </w:r>
    </w:p>
    <w:p w14:paraId="708812A9" w14:textId="77777777" w:rsidR="00795E60" w:rsidRDefault="00F56376">
      <w:pPr>
        <w:pStyle w:val="BodyText"/>
        <w:widowControl w:val="0"/>
        <w:numPr>
          <w:ilvl w:val="0"/>
          <w:numId w:val="19"/>
        </w:numPr>
        <w:spacing w:after="0"/>
      </w:pPr>
      <w:r>
        <w:t>Ekonomiska läget och förändrade villkor för studieförbunden</w:t>
      </w:r>
    </w:p>
    <w:p w14:paraId="2F40DF19" w14:textId="77777777" w:rsidR="00795E60" w:rsidRDefault="00F56376">
      <w:pPr>
        <w:pStyle w:val="BodyText"/>
        <w:widowControl w:val="0"/>
        <w:numPr>
          <w:ilvl w:val="0"/>
          <w:numId w:val="19"/>
        </w:numPr>
        <w:spacing w:after="0"/>
      </w:pPr>
      <w:r>
        <w:t>Utveckling av det internationella arbetet</w:t>
      </w:r>
    </w:p>
    <w:p w14:paraId="66BB85BE" w14:textId="77777777" w:rsidR="00795E60" w:rsidRDefault="00F56376">
      <w:pPr>
        <w:pStyle w:val="BodyText"/>
        <w:widowControl w:val="0"/>
        <w:numPr>
          <w:ilvl w:val="0"/>
          <w:numId w:val="19"/>
        </w:numPr>
      </w:pPr>
      <w:r>
        <w:t xml:space="preserve">Behov av ökad samverkan med </w:t>
      </w:r>
      <w:r>
        <w:t>civilsamhället</w:t>
      </w:r>
    </w:p>
    <w:p w14:paraId="4306A4B0" w14:textId="77777777" w:rsidR="00795E60" w:rsidRDefault="00F56376">
      <w:pPr>
        <w:pStyle w:val="BodyText"/>
        <w:widowControl w:val="0"/>
      </w:pPr>
      <w:r>
        <w:rPr>
          <w:b/>
        </w:rPr>
        <w:t xml:space="preserve">Ekonomiska läget och förändrade villkor för studieförbunden </w:t>
      </w:r>
    </w:p>
    <w:p w14:paraId="70E8C588" w14:textId="77777777" w:rsidR="00795E60" w:rsidRDefault="00F56376">
      <w:pPr>
        <w:pStyle w:val="BodyText"/>
        <w:widowControl w:val="0"/>
      </w:pPr>
      <w:r>
        <w:t>Civilsamhället påverkas av inflation och minskade statliga anslag. Det innebär behov av att se över andra finansieringsformer. Ett nytt system för statsbidrag till studieförbund har beslutats om av Folkbildningsrådet från och med 2024. Det nya systemet ska främja kvalitet, minska volymjakt och öka profileringen av verksamheten. Det innebär i praktiken att även systemet för bidragsgivning av länets kommuner och Region Örebro län behöver ändras. Kulturnämnden har fattat beslut om nya riktlinjer och en ny förd</w:t>
      </w:r>
      <w:r>
        <w:t>elningsmodell för det regionala stödet till folkbildningen.</w:t>
      </w:r>
    </w:p>
    <w:p w14:paraId="2CEEEB31" w14:textId="77777777" w:rsidR="00795E60" w:rsidRDefault="00F56376">
      <w:pPr>
        <w:pStyle w:val="BodyText"/>
        <w:widowControl w:val="0"/>
      </w:pPr>
      <w:r>
        <w:t>Regeringen har aviserat att statsbidraget till studieförbunden kommer att minska under en treårsperiod med totalt en tredjedel av det nuvarande stödet, med start 2024. En konsekvens är att studieförbund har sagt upp personal och lokaler. Totalt har ungefär 25 procent av personalen sagts upp. Det innebär minskad verksamhet och risk för minskad närvaro i länet, liksom en risk att studieförbunden som resurs och infrastruktur försvagas. Studieförbund ser också över sin organisatoriska struktur, vilket i några f</w:t>
      </w:r>
      <w:r>
        <w:t>all kan komma att innebära storregionala indelningar. Detta förändrar villkoren för studieförbunden samt för de föreningar och det kulturliv som är knutet till studieförbund.</w:t>
      </w:r>
    </w:p>
    <w:p w14:paraId="64C18925" w14:textId="77777777" w:rsidR="00795E60" w:rsidRDefault="00F56376">
      <w:pPr>
        <w:pStyle w:val="BodyText"/>
        <w:widowControl w:val="0"/>
      </w:pPr>
      <w:r>
        <w:rPr>
          <w:b/>
        </w:rPr>
        <w:t xml:space="preserve">Utveckling av det internationella arbetet </w:t>
      </w:r>
    </w:p>
    <w:p w14:paraId="6FB7422E" w14:textId="77777777" w:rsidR="00795E60" w:rsidRDefault="00F56376">
      <w:pPr>
        <w:pStyle w:val="BodyText"/>
        <w:widowControl w:val="0"/>
      </w:pPr>
      <w:r>
        <w:t xml:space="preserve">Behovet av ett internationellt erfarenhetsutbyte är stort och inom EU finns stora möjligheter för samverkan och projektfinansiering. Inom EU-kommissionen har flera viktiga förändringar ägt rum som kraftigt försämrar förutsättningarna för den sociala ekonomin. För det första finns inte längre en särskild utpekad EU-kommissionär med ansvar för social ekonomi. För det andra har arbetsgruppen för social ekonomi inom generaldirektoratet för tillväxt samt generaldirektoratet employment upplösts på grund av andra </w:t>
      </w:r>
      <w:r>
        <w:t xml:space="preserve">prioriteringar inom </w:t>
      </w:r>
      <w:r>
        <w:lastRenderedPageBreak/>
        <w:t xml:space="preserve">kommissionen. För det tredje har EU-kommissionens nätverk för regioner intresserade av social ekonomi upplösts. Sammantaget innebär dessa förändringar kraftiga försämringar för den sociala ekonomin i Europa. Dessa försämringar har ökat behovet av att Region Örebro län aktivt deltar i REVES och andra europeiska nätverk och konstellationer för att hitta samverkanspartners och gemensamt driva frågor som rör social ekonomi. Aktivt deltagande förutsätter deltagande såväl digitalt som fysisk, </w:t>
      </w:r>
      <w:r>
        <w:t>vilket innebär att budget behövs för internationalisering samt att restriktionerna bör ses över utifrån uppdrag om internationalisering.</w:t>
      </w:r>
    </w:p>
    <w:p w14:paraId="6472D492" w14:textId="77777777" w:rsidR="00795E60" w:rsidRDefault="00F56376">
      <w:pPr>
        <w:pStyle w:val="BodyText"/>
        <w:widowControl w:val="0"/>
      </w:pPr>
      <w:r>
        <w:t>Inom civilsamhällsfrågorna har Region Örebro län under lång tid arbetat med ökad internationell samverkan och erfarenhetsutbyte. Under 2025 har arbetet dels inneburit att delta på EU-seminarier, dels nya projektförfrågningar från andra länder. Region Örebro län har inte skickat in några ansökningar under 2025. Anledningen är dels att antalet möjliga utlysningar minskar i takt med att EU:s programperiod börjar gå mot sitt slut, dels att tiden som utlysningar är öppna är för korta för regionorganisationens in</w:t>
      </w:r>
      <w:r>
        <w:t>terna processer.</w:t>
      </w:r>
    </w:p>
    <w:p w14:paraId="2451DA9B" w14:textId="77777777" w:rsidR="00795E60" w:rsidRDefault="00F56376">
      <w:pPr>
        <w:pStyle w:val="BodyText"/>
        <w:widowControl w:val="0"/>
      </w:pPr>
      <w:r>
        <w:rPr>
          <w:b/>
        </w:rPr>
        <w:t>Behov av ökad samverkan med civilsamhället</w:t>
      </w:r>
    </w:p>
    <w:p w14:paraId="733C1F8F" w14:textId="77777777" w:rsidR="00795E60" w:rsidRDefault="00F56376">
      <w:pPr>
        <w:pStyle w:val="BodyText"/>
        <w:widowControl w:val="0"/>
      </w:pPr>
      <w:r>
        <w:t>Offentlig sektor klarar inte av att på egen hand hantera dagens komplexa samhällsutmaningar samtidigt som Civilsamhället är en viktig part i det arbetet. Ett exempel på gemensamt arbete med en samhällsutmaning i Örebro län genomförs inom Partnerskapet för sociala innovationer och det nystartade ESF-projektet "Samverkan för social innovation i Örebro län". Där arbetar civilsamhälle och offentlig sektor tillsammans med frågan om unga som varken arbetar eller studerar. Projektet startade 2025 och leds av Regio</w:t>
      </w:r>
      <w:r>
        <w:t>n Örebro län, tillsammans med samverkanspartners Örebro läns bildningsförbund, Stiftelsen Activa, Stiftelsen Fontänhuset Örebro och Örebro universitet. Inom ramen för projektet arrangerades en konferens på temat samverkan mellan offentlig sektor och civilsamhälle hösten 2025. Konferensplaneringen gjordes tillsammans med civilsamhällsorganisationer. Under året har arbetet med upphandling av tjänster från civilsamhällsorganisationer inom ramen för projektet startats.</w:t>
      </w:r>
    </w:p>
    <w:p w14:paraId="64939414" w14:textId="77777777" w:rsidR="00795E60" w:rsidRDefault="00F56376">
      <w:pPr>
        <w:pStyle w:val="BodyText"/>
        <w:widowControl w:val="0"/>
      </w:pPr>
      <w:r>
        <w:t>I ett särskilt utvecklingsprojekt inom Regional utveckling har civilsamhällets roll uppmärksammats för att underlätta inkluderingen på arbetsmarknaden av grupper som definieras som utsatta.</w:t>
      </w:r>
    </w:p>
    <w:p w14:paraId="0CA4A919" w14:textId="77777777" w:rsidR="00795E60" w:rsidRDefault="00F56376">
      <w:pPr>
        <w:pStyle w:val="Rubrik1"/>
      </w:pPr>
      <w:bookmarkStart w:id="2" w:name="_Toc220678292"/>
      <w:r>
        <w:t>Nämndens målsättningar, mål och uppdrag</w:t>
      </w:r>
      <w:bookmarkEnd w:id="2"/>
    </w:p>
    <w:p w14:paraId="23F7D1CA" w14:textId="77777777" w:rsidR="00795E60" w:rsidRDefault="00F56376">
      <w:pPr>
        <w:pStyle w:val="Rubrik2"/>
      </w:pPr>
      <w:bookmarkStart w:id="3" w:name="_Toc220678293"/>
      <w:r>
        <w:t>Sammanfattning uppföljning av målsättningar, mål och uppdrag</w:t>
      </w:r>
      <w:bookmarkEnd w:id="3"/>
    </w:p>
    <w:tbl>
      <w:tblPr>
        <w:tblStyle w:val="Tabellrutnt"/>
        <w:tblOverlap w:val="never"/>
        <w:tblW w:w="0" w:type="auto"/>
        <w:tblLayout w:type="fixed"/>
        <w:tblLook w:val="04A0" w:firstRow="1" w:lastRow="0" w:firstColumn="1" w:lastColumn="0" w:noHBand="0" w:noVBand="1"/>
      </w:tblPr>
      <w:tblGrid>
        <w:gridCol w:w="4195"/>
        <w:gridCol w:w="1814"/>
        <w:gridCol w:w="1814"/>
        <w:gridCol w:w="1814"/>
      </w:tblGrid>
      <w:tr w:rsidR="00FC2AD8" w14:paraId="378B7419" w14:textId="77777777">
        <w:trPr>
          <w:cantSplit w:val="0"/>
          <w:tblHeader/>
        </w:trPr>
        <w:tc>
          <w:tcPr>
            <w:tcW w:w="4195" w:type="dxa"/>
            <w:tcBorders>
              <w:top w:val="single" w:sz="4" w:space="0" w:color="auto"/>
              <w:left w:val="nil"/>
              <w:bottom w:val="single" w:sz="4" w:space="0" w:color="auto"/>
              <w:right w:val="nil"/>
            </w:tcBorders>
            <w:shd w:val="clear" w:color="auto" w:fill="E1E9F2"/>
            <w:vAlign w:val="center"/>
          </w:tcPr>
          <w:p w14:paraId="75380494" w14:textId="77777777" w:rsidR="00795E60" w:rsidRDefault="00F56376">
            <w:pPr>
              <w:pStyle w:val="Tabellcell"/>
            </w:pPr>
            <w:r>
              <w:rPr>
                <w:b/>
              </w:rPr>
              <w:t>Måluppfyllelse</w:t>
            </w:r>
          </w:p>
        </w:tc>
        <w:tc>
          <w:tcPr>
            <w:tcW w:w="1814" w:type="dxa"/>
            <w:tcBorders>
              <w:top w:val="single" w:sz="4" w:space="0" w:color="auto"/>
              <w:left w:val="nil"/>
              <w:bottom w:val="single" w:sz="4" w:space="0" w:color="auto"/>
              <w:right w:val="nil"/>
            </w:tcBorders>
            <w:shd w:val="clear" w:color="auto" w:fill="E1E9F2"/>
            <w:vAlign w:val="center"/>
          </w:tcPr>
          <w:p w14:paraId="01148593" w14:textId="77777777" w:rsidR="00795E60" w:rsidRDefault="00F56376">
            <w:pPr>
              <w:pStyle w:val="Tabellcell"/>
              <w:jc w:val="center"/>
            </w:pPr>
            <w:r>
              <w:rPr>
                <w:b/>
              </w:rPr>
              <w:t>Har uppnåtts/ genomförts</w:t>
            </w:r>
          </w:p>
        </w:tc>
        <w:tc>
          <w:tcPr>
            <w:tcW w:w="1814" w:type="dxa"/>
            <w:tcBorders>
              <w:top w:val="single" w:sz="4" w:space="0" w:color="auto"/>
              <w:left w:val="nil"/>
              <w:bottom w:val="single" w:sz="4" w:space="0" w:color="auto"/>
              <w:right w:val="nil"/>
            </w:tcBorders>
            <w:shd w:val="clear" w:color="auto" w:fill="E1E9F2"/>
            <w:vAlign w:val="center"/>
          </w:tcPr>
          <w:p w14:paraId="0B5509C9" w14:textId="77777777" w:rsidR="00795E60" w:rsidRDefault="00F56376">
            <w:pPr>
              <w:pStyle w:val="Tabellcell"/>
              <w:jc w:val="center"/>
            </w:pPr>
            <w:r>
              <w:rPr>
                <w:b/>
              </w:rPr>
              <w:t>Har delvis uppnåtts/genomförts</w:t>
            </w:r>
          </w:p>
        </w:tc>
        <w:tc>
          <w:tcPr>
            <w:tcW w:w="1814" w:type="dxa"/>
            <w:tcBorders>
              <w:top w:val="single" w:sz="4" w:space="0" w:color="auto"/>
              <w:left w:val="nil"/>
              <w:bottom w:val="single" w:sz="4" w:space="0" w:color="auto"/>
              <w:right w:val="nil"/>
            </w:tcBorders>
            <w:shd w:val="clear" w:color="auto" w:fill="E1E9F2"/>
            <w:vAlign w:val="center"/>
          </w:tcPr>
          <w:p w14:paraId="58650C08" w14:textId="77777777" w:rsidR="00795E60" w:rsidRDefault="00F56376">
            <w:pPr>
              <w:pStyle w:val="Tabellcell"/>
              <w:jc w:val="center"/>
            </w:pPr>
            <w:r>
              <w:rPr>
                <w:b/>
              </w:rPr>
              <w:t>Har inte uppnåtts/ genomförts</w:t>
            </w:r>
          </w:p>
        </w:tc>
      </w:tr>
      <w:tr w:rsidR="00FC2AD8" w14:paraId="2545B6BA" w14:textId="77777777">
        <w:trPr>
          <w:cantSplit w:val="0"/>
        </w:trPr>
        <w:tc>
          <w:tcPr>
            <w:tcW w:w="4195" w:type="dxa"/>
            <w:tcBorders>
              <w:top w:val="single" w:sz="4" w:space="0" w:color="auto"/>
              <w:left w:val="nil"/>
              <w:bottom w:val="single" w:sz="4" w:space="0" w:color="auto"/>
              <w:right w:val="nil"/>
            </w:tcBorders>
            <w:shd w:val="clear" w:color="auto" w:fill="FFFFFF"/>
          </w:tcPr>
          <w:p w14:paraId="7BF1B580" w14:textId="77777777" w:rsidR="00795E60" w:rsidRDefault="00F56376">
            <w:pPr>
              <w:pStyle w:val="Tabellcell"/>
            </w:pPr>
            <w:r>
              <w:t>Målsättningar från regionfullmäktige</w:t>
            </w:r>
          </w:p>
        </w:tc>
        <w:tc>
          <w:tcPr>
            <w:tcW w:w="1814" w:type="dxa"/>
            <w:tcBorders>
              <w:top w:val="single" w:sz="4" w:space="0" w:color="auto"/>
              <w:left w:val="nil"/>
              <w:bottom w:val="single" w:sz="4" w:space="0" w:color="auto"/>
              <w:right w:val="nil"/>
            </w:tcBorders>
            <w:shd w:val="clear" w:color="auto" w:fill="FFFFFF"/>
          </w:tcPr>
          <w:p w14:paraId="02CCE837" w14:textId="77777777" w:rsidR="00795E60" w:rsidRDefault="00F56376">
            <w:pPr>
              <w:pStyle w:val="Tabellcell"/>
              <w:jc w:val="center"/>
            </w:pPr>
            <w:r>
              <w:t>2</w:t>
            </w:r>
          </w:p>
        </w:tc>
        <w:tc>
          <w:tcPr>
            <w:tcW w:w="1814" w:type="dxa"/>
            <w:tcBorders>
              <w:top w:val="single" w:sz="4" w:space="0" w:color="auto"/>
              <w:left w:val="nil"/>
              <w:bottom w:val="single" w:sz="4" w:space="0" w:color="auto"/>
              <w:right w:val="nil"/>
            </w:tcBorders>
            <w:shd w:val="clear" w:color="auto" w:fill="FFFFFF"/>
          </w:tcPr>
          <w:p w14:paraId="09F52B13" w14:textId="77777777" w:rsidR="00795E60" w:rsidRDefault="00F56376">
            <w:pPr>
              <w:pStyle w:val="Tabellcell"/>
              <w:jc w:val="center"/>
            </w:pPr>
            <w:r>
              <w:t>3</w:t>
            </w:r>
          </w:p>
        </w:tc>
        <w:tc>
          <w:tcPr>
            <w:tcW w:w="1814" w:type="dxa"/>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1D822803" w14:textId="77777777" w:rsidR="00795E60" w:rsidRDefault="00795E60">
            <w:pPr>
              <w:pStyle w:val="Tabellcell"/>
            </w:pPr>
          </w:p>
        </w:tc>
      </w:tr>
      <w:tr w:rsidR="00FC2AD8" w14:paraId="335A7B71" w14:textId="77777777">
        <w:trPr>
          <w:cantSplit w:val="0"/>
        </w:trPr>
        <w:tc>
          <w:tcPr>
            <w:tcW w:w="4195" w:type="dxa"/>
            <w:tcBorders>
              <w:top w:val="single" w:sz="4" w:space="0" w:color="auto"/>
              <w:left w:val="nil"/>
              <w:bottom w:val="single" w:sz="4" w:space="0" w:color="auto"/>
              <w:right w:val="nil"/>
            </w:tcBorders>
            <w:shd w:val="clear" w:color="auto" w:fill="FFFFFF"/>
          </w:tcPr>
          <w:p w14:paraId="7E7FB846" w14:textId="77777777" w:rsidR="00795E60" w:rsidRDefault="00F56376">
            <w:pPr>
              <w:pStyle w:val="Tabellcell"/>
            </w:pPr>
            <w:r>
              <w:t>Uppdrag från regionfullmäktige</w:t>
            </w:r>
          </w:p>
        </w:tc>
        <w:tc>
          <w:tcPr>
            <w:tcW w:w="1814" w:type="dxa"/>
            <w:tcBorders>
              <w:top w:val="single" w:sz="4" w:space="0" w:color="auto"/>
              <w:left w:val="nil"/>
              <w:bottom w:val="single" w:sz="4" w:space="0" w:color="auto"/>
              <w:right w:val="nil"/>
            </w:tcBorders>
            <w:shd w:val="clear" w:color="auto" w:fill="FFFFFF"/>
          </w:tcPr>
          <w:p w14:paraId="04CD4E8E" w14:textId="77777777" w:rsidR="00795E60" w:rsidRDefault="00F56376">
            <w:pPr>
              <w:pStyle w:val="Tabellcell"/>
              <w:jc w:val="center"/>
            </w:pPr>
            <w:r>
              <w:t>12</w:t>
            </w:r>
          </w:p>
        </w:tc>
        <w:tc>
          <w:tcPr>
            <w:tcW w:w="1814" w:type="dxa"/>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534B55DB" w14:textId="77777777" w:rsidR="00795E60" w:rsidRDefault="00795E60">
            <w:pPr>
              <w:pStyle w:val="Tabellcell"/>
            </w:pPr>
          </w:p>
        </w:tc>
        <w:tc>
          <w:tcPr>
            <w:tcW w:w="1814" w:type="dxa"/>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0C299C36" w14:textId="77777777" w:rsidR="00795E60" w:rsidRDefault="00795E60">
            <w:pPr>
              <w:pStyle w:val="Tabellcell"/>
            </w:pPr>
          </w:p>
        </w:tc>
      </w:tr>
      <w:tr w:rsidR="00FC2AD8" w14:paraId="490CFECC" w14:textId="77777777">
        <w:trPr>
          <w:cantSplit w:val="0"/>
        </w:trPr>
        <w:tc>
          <w:tcPr>
            <w:tcW w:w="4195" w:type="dxa"/>
            <w:tcBorders>
              <w:top w:val="single" w:sz="4" w:space="0" w:color="auto"/>
              <w:left w:val="nil"/>
              <w:bottom w:val="single" w:sz="4" w:space="0" w:color="auto"/>
              <w:right w:val="nil"/>
            </w:tcBorders>
            <w:shd w:val="clear" w:color="auto" w:fill="FFFFFF"/>
          </w:tcPr>
          <w:p w14:paraId="313E5DE4" w14:textId="77777777" w:rsidR="00795E60" w:rsidRDefault="00F56376">
            <w:pPr>
              <w:pStyle w:val="Tabellcell"/>
            </w:pPr>
            <w:r>
              <w:t>Nämndens mål</w:t>
            </w:r>
          </w:p>
        </w:tc>
        <w:tc>
          <w:tcPr>
            <w:tcW w:w="1814" w:type="dxa"/>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40A4C460" w14:textId="77777777" w:rsidR="00795E60" w:rsidRDefault="00795E60">
            <w:pPr>
              <w:pStyle w:val="Tabellcell"/>
            </w:pPr>
          </w:p>
        </w:tc>
        <w:tc>
          <w:tcPr>
            <w:tcW w:w="1814" w:type="dxa"/>
            <w:tcBorders>
              <w:top w:val="single" w:sz="4" w:space="0" w:color="auto"/>
              <w:left w:val="nil"/>
              <w:bottom w:val="single" w:sz="4" w:space="0" w:color="auto"/>
              <w:right w:val="nil"/>
            </w:tcBorders>
            <w:shd w:val="clear" w:color="auto" w:fill="FFFFFF"/>
          </w:tcPr>
          <w:p w14:paraId="0C0E7AD5" w14:textId="77777777" w:rsidR="00795E60" w:rsidRDefault="00F56376">
            <w:pPr>
              <w:pStyle w:val="Tabellcell"/>
              <w:jc w:val="center"/>
            </w:pPr>
            <w:r>
              <w:t>5</w:t>
            </w:r>
          </w:p>
        </w:tc>
        <w:tc>
          <w:tcPr>
            <w:tcW w:w="1814" w:type="dxa"/>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228AFCB2" w14:textId="77777777" w:rsidR="00795E60" w:rsidRDefault="00795E60">
            <w:pPr>
              <w:pStyle w:val="Tabellcell"/>
            </w:pPr>
          </w:p>
        </w:tc>
      </w:tr>
      <w:tr w:rsidR="00FC2AD8" w14:paraId="0BAC160A" w14:textId="77777777">
        <w:trPr>
          <w:cantSplit w:val="0"/>
        </w:trPr>
        <w:tc>
          <w:tcPr>
            <w:tcW w:w="4195" w:type="dxa"/>
            <w:tcBorders>
              <w:top w:val="single" w:sz="4" w:space="0" w:color="auto"/>
              <w:left w:val="nil"/>
              <w:bottom w:val="single" w:sz="4" w:space="0" w:color="auto"/>
              <w:right w:val="nil"/>
            </w:tcBorders>
            <w:shd w:val="clear" w:color="auto" w:fill="FFFFFF"/>
          </w:tcPr>
          <w:p w14:paraId="1297B28D" w14:textId="77777777" w:rsidR="00795E60" w:rsidRDefault="00F56376">
            <w:pPr>
              <w:pStyle w:val="Tabellcell"/>
            </w:pPr>
            <w:r>
              <w:t>Nämndens uppdrag</w:t>
            </w:r>
          </w:p>
        </w:tc>
        <w:tc>
          <w:tcPr>
            <w:tcW w:w="1814" w:type="dxa"/>
            <w:tcBorders>
              <w:top w:val="single" w:sz="4" w:space="0" w:color="auto"/>
              <w:left w:val="nil"/>
              <w:bottom w:val="single" w:sz="4" w:space="0" w:color="auto"/>
              <w:right w:val="nil"/>
            </w:tcBorders>
            <w:shd w:val="clear" w:color="auto" w:fill="FFFFFF"/>
          </w:tcPr>
          <w:p w14:paraId="60A987EA" w14:textId="77777777" w:rsidR="00795E60" w:rsidRDefault="00F56376">
            <w:pPr>
              <w:pStyle w:val="Tabellcell"/>
              <w:jc w:val="center"/>
            </w:pPr>
            <w:r>
              <w:t>1</w:t>
            </w:r>
          </w:p>
        </w:tc>
        <w:tc>
          <w:tcPr>
            <w:tcW w:w="1814" w:type="dxa"/>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62CFFACA" w14:textId="77777777" w:rsidR="00795E60" w:rsidRDefault="00795E60">
            <w:pPr>
              <w:pStyle w:val="Tabellcell"/>
            </w:pPr>
          </w:p>
        </w:tc>
        <w:tc>
          <w:tcPr>
            <w:tcW w:w="1814" w:type="dxa"/>
            <w:tcBorders>
              <w:top w:val="single" w:sz="4" w:space="0" w:color="auto"/>
              <w:left w:val="nil"/>
              <w:bottom w:val="single" w:sz="4" w:space="0" w:color="auto"/>
              <w:right w:val="nil"/>
            </w:tcBorders>
            <w:shd w:val="clear" w:color="auto" w:fill="FFFFFF"/>
            <w:tcMar>
              <w:top w:w="0" w:type="dxa"/>
              <w:left w:w="0" w:type="dxa"/>
              <w:bottom w:w="0" w:type="dxa"/>
              <w:right w:w="0" w:type="dxa"/>
            </w:tcMar>
          </w:tcPr>
          <w:p w14:paraId="5FD50EF7" w14:textId="77777777" w:rsidR="00795E60" w:rsidRDefault="00795E60">
            <w:pPr>
              <w:pStyle w:val="Tabellcell"/>
            </w:pPr>
          </w:p>
        </w:tc>
      </w:tr>
    </w:tbl>
    <w:p w14:paraId="63D63E38" w14:textId="77777777" w:rsidR="00795E60" w:rsidRDefault="00F56376">
      <w:pPr>
        <w:pStyle w:val="BodyText"/>
        <w:widowControl w:val="0"/>
        <w:spacing w:before="160"/>
      </w:pPr>
      <w:r>
        <w:br/>
      </w:r>
    </w:p>
    <w:p w14:paraId="2D1DDA37" w14:textId="77777777" w:rsidR="00795E60" w:rsidRDefault="00F56376">
      <w:pPr>
        <w:pStyle w:val="Rubrik2"/>
      </w:pPr>
      <w:bookmarkStart w:id="4" w:name="_Toc220678294"/>
      <w:r>
        <w:t>Övergripande målområden/målsättningar</w:t>
      </w:r>
      <w:bookmarkEnd w:id="4"/>
    </w:p>
    <w:p w14:paraId="6D492AB9" w14:textId="77777777" w:rsidR="00795E60" w:rsidRDefault="00F56376">
      <w:pPr>
        <w:pStyle w:val="Fastanvisning"/>
        <w:widowControl w:val="0"/>
      </w:pPr>
      <w:r>
        <w:t xml:space="preserve">De övergripande målområdena beskriver inriktningar, ambitioner och målsättningar för nämndernas </w:t>
      </w:r>
      <w:r>
        <w:lastRenderedPageBreak/>
        <w:t>verk</w:t>
      </w:r>
      <w:r>
        <w:t>samheter för att invånarnas och samhällets behov ska tillgodoses på bästa sätt. Målsättningar med styrtal och uppdrag är viktiga för att styra mot visionen. Det är styrtal som ska ge en indikation på måluppfyllelse och som tillsammans med uppdragen ska bidra för att bedöma måluppfyllelsen.</w:t>
      </w:r>
    </w:p>
    <w:p w14:paraId="2AF8E4A2" w14:textId="77777777" w:rsidR="00795E60" w:rsidRDefault="00F56376">
      <w:pPr>
        <w:pStyle w:val="Rubrik3"/>
      </w:pPr>
      <w:r>
        <w:t>Målsättning nr 4: Den hållbara regionala utvecklingen ligger i framkant.</w:t>
      </w:r>
    </w:p>
    <w:p w14:paraId="2967E435" w14:textId="77777777" w:rsidR="00795E60" w:rsidRDefault="00F56376">
      <w:pPr>
        <w:pStyle w:val="Texttitel"/>
      </w:pPr>
      <w:r>
        <w:t>Kommentar</w:t>
      </w:r>
    </w:p>
    <w:p w14:paraId="11AA986D" w14:textId="77777777" w:rsidR="00795E60" w:rsidRDefault="00F56376">
      <w:pPr>
        <w:pStyle w:val="BodyText"/>
        <w:widowControl w:val="0"/>
      </w:pPr>
      <w:r>
        <w:t>Utfallet för styrtalet 2024 visar en ökning av antalet kulturaktiviteter som genomförts av de regionalt finansierade kulturaktörerna, främst inom kultursamverkansmodellen, jämfört med 2023. Samtidigt finns det indikationer på en motsatt utveckling för kulturen i länet som helhet. Staten minskar successivt statsbidragen till studieförbunden och under 2025 har staten inte räknat upp medlen inom kultursamverkansmodellen. År 2024 genomfördes dessutom större besparingar inom kulturnämnden, vilket särskilt påverk</w:t>
      </w:r>
      <w:r>
        <w:t>ade möjligheten att genomföra kultursatsningar utanför modellen. Sammantaget innebär detta att de ekonomiska förutsättningarna för civilsamhället och kulturen i länet har försämrats. Deltagande i kultur, föreningsliv och folkbildning beskrivs som viktiga skyddsfaktorer för folkhälsan, och kulturtillgången har stor betydelse för länets attraktivitet. Om den kulturella infrastrukturen och civilsamhället försvagas riskerar Örebro län att bli mindre hållbart och attraktivt.</w:t>
      </w:r>
    </w:p>
    <w:p w14:paraId="58A658E6" w14:textId="77777777" w:rsidR="00795E60" w:rsidRDefault="00F56376">
      <w:pPr>
        <w:pStyle w:val="BodyText"/>
        <w:widowControl w:val="0"/>
        <w:numPr>
          <w:ilvl w:val="0"/>
          <w:numId w:val="19"/>
        </w:numPr>
      </w:pPr>
      <w:r>
        <w:t>Bedömningen utifrån nämndens/verksamhetens redovisning, styrtal och uppdrag samt nämndens mål är att målsättningen delvis har uppnåtts.</w:t>
      </w:r>
    </w:p>
    <w:tbl>
      <w:tblPr>
        <w:tblStyle w:val="Tabellrutnt"/>
        <w:tblOverlap w:val="never"/>
        <w:tblW w:w="0" w:type="auto"/>
        <w:tblLayout w:type="fixed"/>
        <w:tblLook w:val="04A0" w:firstRow="1" w:lastRow="0" w:firstColumn="1" w:lastColumn="0" w:noHBand="0" w:noVBand="1"/>
      </w:tblPr>
      <w:tblGrid>
        <w:gridCol w:w="4536"/>
        <w:gridCol w:w="1701"/>
        <w:gridCol w:w="1701"/>
        <w:gridCol w:w="1701"/>
      </w:tblGrid>
      <w:tr w:rsidR="00FC2AD8" w14:paraId="05BA7FFF" w14:textId="77777777">
        <w:trPr>
          <w:cantSplit w:val="0"/>
          <w:tblHeader/>
        </w:trPr>
        <w:tc>
          <w:tcPr>
            <w:tcW w:w="4536" w:type="dxa"/>
            <w:tcBorders>
              <w:top w:val="single" w:sz="4" w:space="0" w:color="auto"/>
              <w:left w:val="nil"/>
              <w:bottom w:val="single" w:sz="4" w:space="0" w:color="auto"/>
              <w:right w:val="nil"/>
            </w:tcBorders>
            <w:shd w:val="clear" w:color="auto" w:fill="E1E9F2"/>
            <w:vAlign w:val="center"/>
          </w:tcPr>
          <w:p w14:paraId="00AD5E74" w14:textId="77777777" w:rsidR="00795E60" w:rsidRDefault="00F56376">
            <w:pPr>
              <w:pStyle w:val="Tabellcell"/>
            </w:pPr>
            <w:r>
              <w:rPr>
                <w:b/>
              </w:rPr>
              <w:t>Styrtal</w:t>
            </w:r>
          </w:p>
        </w:tc>
        <w:tc>
          <w:tcPr>
            <w:tcW w:w="1701" w:type="dxa"/>
            <w:tcBorders>
              <w:top w:val="single" w:sz="4" w:space="0" w:color="auto"/>
              <w:left w:val="nil"/>
              <w:bottom w:val="single" w:sz="4" w:space="0" w:color="auto"/>
              <w:right w:val="nil"/>
            </w:tcBorders>
            <w:shd w:val="clear" w:color="auto" w:fill="E1E9F2"/>
            <w:vAlign w:val="center"/>
          </w:tcPr>
          <w:p w14:paraId="160D3507" w14:textId="77777777" w:rsidR="00795E60" w:rsidRDefault="00F56376">
            <w:pPr>
              <w:pStyle w:val="Tabellcell"/>
              <w:jc w:val="center"/>
            </w:pPr>
            <w:r>
              <w:rPr>
                <w:b/>
              </w:rPr>
              <w:t>Utfall</w:t>
            </w:r>
          </w:p>
        </w:tc>
        <w:tc>
          <w:tcPr>
            <w:tcW w:w="1701" w:type="dxa"/>
            <w:tcBorders>
              <w:top w:val="single" w:sz="4" w:space="0" w:color="auto"/>
              <w:left w:val="nil"/>
              <w:bottom w:val="single" w:sz="4" w:space="0" w:color="auto"/>
              <w:right w:val="nil"/>
            </w:tcBorders>
            <w:shd w:val="clear" w:color="auto" w:fill="E1E9F2"/>
            <w:vAlign w:val="center"/>
          </w:tcPr>
          <w:p w14:paraId="13B7F975" w14:textId="77777777" w:rsidR="00795E60" w:rsidRDefault="00F56376">
            <w:pPr>
              <w:pStyle w:val="Tabellcell"/>
              <w:jc w:val="center"/>
            </w:pPr>
            <w:r>
              <w:rPr>
                <w:b/>
              </w:rPr>
              <w:t>Årets målvärde</w:t>
            </w:r>
          </w:p>
        </w:tc>
        <w:tc>
          <w:tcPr>
            <w:tcW w:w="1701" w:type="dxa"/>
            <w:tcBorders>
              <w:top w:val="single" w:sz="4" w:space="0" w:color="auto"/>
              <w:left w:val="nil"/>
              <w:bottom w:val="single" w:sz="4" w:space="0" w:color="auto"/>
              <w:right w:val="nil"/>
            </w:tcBorders>
            <w:shd w:val="clear" w:color="auto" w:fill="E1E9F2"/>
            <w:vAlign w:val="center"/>
          </w:tcPr>
          <w:p w14:paraId="13E9A70E" w14:textId="77777777" w:rsidR="00795E60" w:rsidRDefault="00F56376">
            <w:pPr>
              <w:pStyle w:val="Tabellcell"/>
              <w:jc w:val="center"/>
            </w:pPr>
            <w:r>
              <w:rPr>
                <w:b/>
              </w:rPr>
              <w:t>Långsiktigt målvärde</w:t>
            </w:r>
          </w:p>
        </w:tc>
      </w:tr>
      <w:tr w:rsidR="00FC2AD8" w14:paraId="087D5717" w14:textId="77777777">
        <w:trPr>
          <w:cantSplit w:val="0"/>
        </w:trPr>
        <w:tc>
          <w:tcPr>
            <w:tcW w:w="4536" w:type="dxa"/>
            <w:tcBorders>
              <w:top w:val="single" w:sz="4" w:space="0" w:color="auto"/>
              <w:left w:val="nil"/>
              <w:bottom w:val="nil"/>
              <w:right w:val="nil"/>
            </w:tcBorders>
            <w:shd w:val="clear" w:color="auto" w:fill="FFFFFF"/>
          </w:tcPr>
          <w:p w14:paraId="5ECD026F" w14:textId="77777777" w:rsidR="00795E60" w:rsidRDefault="00F56376">
            <w:pPr>
              <w:pStyle w:val="Tabellcell"/>
            </w:pPr>
            <w:r>
              <w:rPr>
                <w:b/>
              </w:rPr>
              <w:t>6. Antalet genomförda kulturarrangemang/kulturaktiviteter som har genomförts av aktörer med uppdrag i kulturplanen ska öka. (Mål: Ska öka mer procentuellt)</w:t>
            </w:r>
          </w:p>
        </w:tc>
        <w:tc>
          <w:tcPr>
            <w:tcW w:w="1701" w:type="dxa"/>
            <w:tcBorders>
              <w:top w:val="single" w:sz="4" w:space="0" w:color="auto"/>
              <w:left w:val="nil"/>
              <w:bottom w:val="nil"/>
              <w:right w:val="nil"/>
            </w:tcBorders>
            <w:shd w:val="clear" w:color="auto" w:fill="FFFFFF"/>
          </w:tcPr>
          <w:p w14:paraId="79E345A2" w14:textId="77777777" w:rsidR="00795E60" w:rsidRDefault="00F56376">
            <w:pPr>
              <w:pStyle w:val="Tabellcell"/>
              <w:jc w:val="center"/>
            </w:pPr>
            <w:r>
              <w:t>2 450 st</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1EF35030" w14:textId="77777777" w:rsidR="00795E60" w:rsidRDefault="00795E60">
            <w:pPr>
              <w:pStyle w:val="Tabellcell"/>
              <w:jc w:val="center"/>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7758107C" w14:textId="77777777" w:rsidR="00795E60" w:rsidRDefault="00795E60">
            <w:pPr>
              <w:pStyle w:val="Tabellcell"/>
              <w:jc w:val="center"/>
            </w:pPr>
          </w:p>
        </w:tc>
      </w:tr>
      <w:tr w:rsidR="00FC2AD8" w14:paraId="58AFD34F" w14:textId="77777777">
        <w:trPr>
          <w:cantSplit w:val="0"/>
        </w:trPr>
        <w:tc>
          <w:tcPr>
            <w:tcW w:w="9639" w:type="dxa"/>
            <w:gridSpan w:val="4"/>
            <w:tcBorders>
              <w:top w:val="nil"/>
              <w:left w:val="nil"/>
              <w:bottom w:val="single" w:sz="4" w:space="0" w:color="auto"/>
              <w:right w:val="nil"/>
            </w:tcBorders>
            <w:shd w:val="clear" w:color="auto" w:fill="FFFFFF"/>
          </w:tcPr>
          <w:p w14:paraId="4B82D284" w14:textId="77777777" w:rsidR="00795E60" w:rsidRDefault="00F56376">
            <w:pPr>
              <w:pStyle w:val="Tabellcell"/>
              <w:widowControl w:val="0"/>
            </w:pPr>
            <w:r>
              <w:rPr>
                <w:b/>
                <w:i/>
              </w:rPr>
              <w:t>Kommentar</w:t>
            </w:r>
          </w:p>
          <w:p w14:paraId="74D2DE87" w14:textId="77777777" w:rsidR="00795E60" w:rsidRDefault="00F56376">
            <w:pPr>
              <w:pStyle w:val="Tabellcell"/>
              <w:widowControl w:val="0"/>
            </w:pPr>
            <w:r>
              <w:t xml:space="preserve">Det senast kända värdet är för 2024. Antalet genomförda </w:t>
            </w:r>
            <w:r>
              <w:t>kulturarrangemangen/kulturaktiviteterna har ökat med 9 procent från 2023 till 2024. 44 procent av de genomförda kulturarrangemangen/kulturaktiviteterna 2024 är riktade till barn och unga.</w:t>
            </w:r>
          </w:p>
        </w:tc>
      </w:tr>
    </w:tbl>
    <w:p w14:paraId="6C4A57B0" w14:textId="77777777" w:rsidR="00795E60" w:rsidRDefault="00F56376">
      <w:pPr>
        <w:pStyle w:val="Rubrik4"/>
      </w:pPr>
      <w:r>
        <w:t>Mål: Region Örebro län har stärkt den kulturella infrastrukturen utifrån ett särskilt fokus på de prioriterade områdena: professionell scenkonst (inom teater/dans/musik), bild och form, kulturarv (inom kulturmiljö/museum/arkiv), främjande verksamhet (inom bild och form, slöjd, teater, dans, film, litteratur, musik och regional biblioteksverksamhet) samt civilsamhället genom folkbildningen och föreningslivet. 2025 prioriteras kulturaktörer inom kultursamverkansmodellen och aktörer med regionala verksamhetsme</w:t>
      </w:r>
      <w:r>
        <w:t>del kultur.</w:t>
      </w:r>
    </w:p>
    <w:p w14:paraId="7B12DA8B" w14:textId="77777777" w:rsidR="00795E60" w:rsidRDefault="00F56376">
      <w:pPr>
        <w:pStyle w:val="Texttitel"/>
      </w:pPr>
      <w:r>
        <w:t>Kommentar</w:t>
      </w:r>
    </w:p>
    <w:p w14:paraId="1D56FE02" w14:textId="77777777" w:rsidR="00795E60" w:rsidRDefault="00F56376">
      <w:pPr>
        <w:pStyle w:val="BodyText"/>
        <w:widowControl w:val="0"/>
      </w:pPr>
      <w:r>
        <w:t>Region Örebro län har en central roll i länets kulturella infrastruktur genom aktörer som finansieras via kultursamverkansmodellen. Regionen prioriterade därför en uppräkning med 2,4 %. Statens kulturråd, som är medfinansiär, genomförde däremot för första gången sedan modellens införande en neddragning på 298 000 kronor, vilket drabbade den filmkulturella verksamheten och den regionala biblioteksverksamheten. Andra mindre förändringar som genomfördes var en omfördelning av medel där Örebro läns museums mede</w:t>
      </w:r>
      <w:r>
        <w:t xml:space="preserve">l ökade med 100 000 kronor och 335 000 kronor satsades på en ny främjandeverksamhet med fokus på kultur på </w:t>
      </w:r>
      <w:r>
        <w:lastRenderedPageBreak/>
        <w:t>landsbygden. Även de aktörer som får årliga verksamhetsmedel kultur är av betydelse för länets kulturella infrastruktur och tre nya aktörer har lagts till modellen från föreningsmedel: Konstfrämjandet Bergslagen, Riksteatern Örebro län och Konsthantverkarna Örebro.</w:t>
      </w:r>
    </w:p>
    <w:p w14:paraId="2D5B61C7" w14:textId="77777777" w:rsidR="00795E60" w:rsidRDefault="00F56376">
      <w:pPr>
        <w:pStyle w:val="BodyText"/>
        <w:widowControl w:val="0"/>
      </w:pPr>
      <w:r>
        <w:t>Neddragningarna i kulturnämnden som genomfördes 2024 påverkar möjligheten att stärka kulturutveckling utanför modellen och dansområdet har en årsarbetskraft mindre. Örebro läns museum behöver ökad ramfinansiering inför återöppnandet av den huvudsakliga utställningsverksamheten på Engelbrektsgatan i Örebro 2027. Flera mindre verksamheter har påtalat behov av ökade budgetramar och Frövifors pappersbruksmuseum riskerar att gå i konkurs om inte åtgärder vidtas.</w:t>
      </w:r>
    </w:p>
    <w:p w14:paraId="25C2DAF9" w14:textId="77777777" w:rsidR="00795E60" w:rsidRDefault="00F56376">
      <w:pPr>
        <w:pStyle w:val="BodyText"/>
        <w:widowControl w:val="0"/>
      </w:pPr>
      <w:r>
        <w:t>Den senaste statistiken från 2024 visar att publiksiffrorna fortsätter att succesivt öka efter nedgången under pandemin. Det kan också konstateras att de regionalt finansierade kulturaktörerna har varit med och skapat ett mångsidigt kulturliv i Örebro län 2025. Nedan följer exempel:</w:t>
      </w:r>
    </w:p>
    <w:p w14:paraId="3F574777" w14:textId="77777777" w:rsidR="00795E60" w:rsidRDefault="00F56376">
      <w:pPr>
        <w:pStyle w:val="BodyText"/>
        <w:widowControl w:val="0"/>
        <w:numPr>
          <w:ilvl w:val="0"/>
          <w:numId w:val="19"/>
        </w:numPr>
        <w:spacing w:after="0"/>
      </w:pPr>
      <w:r>
        <w:t>Örebro länsteater satte bland annat upp ”The Clash Was Here” och Selma Lagerlöfs ”Herr Arnes penningar”.</w:t>
      </w:r>
    </w:p>
    <w:p w14:paraId="125D853D" w14:textId="77777777" w:rsidR="00795E60" w:rsidRDefault="00F56376">
      <w:pPr>
        <w:pStyle w:val="BodyText"/>
        <w:widowControl w:val="0"/>
        <w:numPr>
          <w:ilvl w:val="0"/>
          <w:numId w:val="19"/>
        </w:numPr>
        <w:spacing w:after="0"/>
      </w:pPr>
      <w:r>
        <w:t>Länsmusiken Örebro med Svenska Kammarorkestern som kärna  genomförde 2025 barnsatsningar som skolkonserter och ”Bebisrytmik”.</w:t>
      </w:r>
    </w:p>
    <w:p w14:paraId="28CD22F1" w14:textId="77777777" w:rsidR="00795E60" w:rsidRDefault="00F56376">
      <w:pPr>
        <w:pStyle w:val="BodyText"/>
        <w:widowControl w:val="0"/>
        <w:numPr>
          <w:ilvl w:val="0"/>
          <w:numId w:val="19"/>
        </w:numPr>
        <w:spacing w:after="0"/>
      </w:pPr>
      <w:r>
        <w:t>Örebro läns museum genomgår en omfattande renovering och hade 2025 utåtriktad verksamhet på bland annat Örebro slott och genom Mobila museet.</w:t>
      </w:r>
    </w:p>
    <w:p w14:paraId="60C250B7" w14:textId="77777777" w:rsidR="00795E60" w:rsidRDefault="00F56376">
      <w:pPr>
        <w:pStyle w:val="BodyText"/>
        <w:widowControl w:val="0"/>
        <w:numPr>
          <w:ilvl w:val="0"/>
          <w:numId w:val="19"/>
        </w:numPr>
        <w:spacing w:after="0"/>
      </w:pPr>
      <w:r>
        <w:t>ArkivCentrum Örebro län bevarade och tillgängliggjorde arkivhandlingar och arrangerade kulturhistoriska föreläsningar.</w:t>
      </w:r>
    </w:p>
    <w:p w14:paraId="199F5C2B" w14:textId="77777777" w:rsidR="00795E60" w:rsidRDefault="00F56376">
      <w:pPr>
        <w:pStyle w:val="BodyText"/>
        <w:widowControl w:val="0"/>
        <w:numPr>
          <w:ilvl w:val="0"/>
          <w:numId w:val="19"/>
        </w:numPr>
        <w:spacing w:after="0"/>
      </w:pPr>
      <w:r>
        <w:t>Stadra teater i Nora kommun satte upp sommarföreställningen Sistagångsväljare</w:t>
      </w:r>
    </w:p>
    <w:p w14:paraId="119F8F60" w14:textId="77777777" w:rsidR="00795E60" w:rsidRDefault="00F56376">
      <w:pPr>
        <w:pStyle w:val="BodyText"/>
        <w:widowControl w:val="0"/>
        <w:numPr>
          <w:ilvl w:val="0"/>
          <w:numId w:val="19"/>
        </w:numPr>
        <w:spacing w:after="0"/>
      </w:pPr>
      <w:r>
        <w:t>Opera på Skäret satte upp Puccinis Turandot i Ljusnarsbergs kommun.</w:t>
      </w:r>
    </w:p>
    <w:p w14:paraId="314C20BB" w14:textId="77777777" w:rsidR="00795E60" w:rsidRDefault="00F56376">
      <w:pPr>
        <w:pStyle w:val="BodyText"/>
        <w:widowControl w:val="0"/>
        <w:numPr>
          <w:ilvl w:val="0"/>
          <w:numId w:val="19"/>
        </w:numPr>
        <w:spacing w:after="0"/>
      </w:pPr>
      <w:r>
        <w:t>Teater Martin Mutter engagerade barn och unga på egen scen och på turné i länet, genom föreställningar som ”PANG! – Ett ballongdrama” och projektet ”Ja, Nej, Kanske” om samtycke.</w:t>
      </w:r>
    </w:p>
    <w:p w14:paraId="50906B04" w14:textId="77777777" w:rsidR="00795E60" w:rsidRDefault="00F56376">
      <w:pPr>
        <w:pStyle w:val="BodyText"/>
        <w:widowControl w:val="0"/>
        <w:numPr>
          <w:ilvl w:val="0"/>
          <w:numId w:val="19"/>
        </w:numPr>
      </w:pPr>
      <w:r>
        <w:t>The Non Existent Center utforskade konst och samhälle genom experimentella utställningar och residensprogram.</w:t>
      </w:r>
    </w:p>
    <w:p w14:paraId="4F66646D" w14:textId="77777777" w:rsidR="00795E60" w:rsidRDefault="00F56376">
      <w:pPr>
        <w:pStyle w:val="BodyText"/>
        <w:widowControl w:val="0"/>
      </w:pPr>
      <w:r>
        <w:t>Se också bilagan om hur Region Örebro län har genomfört kulturplanen genom bland annat främjandeuppdragen som är en del av kultursamverkansmodellen i Örebro län.</w:t>
      </w:r>
    </w:p>
    <w:p w14:paraId="2627799F" w14:textId="77777777" w:rsidR="00795E60" w:rsidRDefault="00F56376">
      <w:pPr>
        <w:pStyle w:val="BodyText"/>
        <w:widowControl w:val="0"/>
      </w:pPr>
      <w:r>
        <w:t>Långsiktiga målvärden för styrtalen är samma som de kortsiktiga det vill säga att bibehålla en stabil kulturell infrastruktur inom samtliga kulturområden som Region Örebro län ansvarar för genom kultursamverkansmodellen.</w:t>
      </w:r>
    </w:p>
    <w:p w14:paraId="5371A24D" w14:textId="77777777" w:rsidR="00795E60" w:rsidRDefault="00F56376">
      <w:pPr>
        <w:pStyle w:val="BodyText"/>
        <w:widowControl w:val="0"/>
        <w:numPr>
          <w:ilvl w:val="0"/>
          <w:numId w:val="19"/>
        </w:numPr>
      </w:pPr>
      <w:r>
        <w:t>Bedömningen utifrån nämndens/verksamhetens redovisning, styrtal och uppdrag är att målet delvis har uppnåtts.</w:t>
      </w:r>
    </w:p>
    <w:tbl>
      <w:tblPr>
        <w:tblStyle w:val="Tabellrutnt"/>
        <w:tblOverlap w:val="never"/>
        <w:tblW w:w="0" w:type="auto"/>
        <w:tblLayout w:type="fixed"/>
        <w:tblLook w:val="04A0" w:firstRow="1" w:lastRow="0" w:firstColumn="1" w:lastColumn="0" w:noHBand="0" w:noVBand="1"/>
      </w:tblPr>
      <w:tblGrid>
        <w:gridCol w:w="4536"/>
        <w:gridCol w:w="1701"/>
        <w:gridCol w:w="1701"/>
        <w:gridCol w:w="1701"/>
      </w:tblGrid>
      <w:tr w:rsidR="00FC2AD8" w14:paraId="0E0B8A07" w14:textId="77777777">
        <w:trPr>
          <w:cantSplit w:val="0"/>
          <w:tblHeader/>
        </w:trPr>
        <w:tc>
          <w:tcPr>
            <w:tcW w:w="4536" w:type="dxa"/>
            <w:tcBorders>
              <w:top w:val="single" w:sz="4" w:space="0" w:color="auto"/>
              <w:left w:val="nil"/>
              <w:bottom w:val="single" w:sz="4" w:space="0" w:color="auto"/>
              <w:right w:val="nil"/>
            </w:tcBorders>
            <w:shd w:val="clear" w:color="auto" w:fill="E1E9F2"/>
            <w:vAlign w:val="center"/>
          </w:tcPr>
          <w:p w14:paraId="496C4022" w14:textId="77777777" w:rsidR="00795E60" w:rsidRDefault="00F56376">
            <w:pPr>
              <w:pStyle w:val="Tabellcell"/>
            </w:pPr>
            <w:r>
              <w:rPr>
                <w:b/>
              </w:rPr>
              <w:t>Styrtal</w:t>
            </w:r>
          </w:p>
        </w:tc>
        <w:tc>
          <w:tcPr>
            <w:tcW w:w="1701" w:type="dxa"/>
            <w:tcBorders>
              <w:top w:val="single" w:sz="4" w:space="0" w:color="auto"/>
              <w:left w:val="nil"/>
              <w:bottom w:val="single" w:sz="4" w:space="0" w:color="auto"/>
              <w:right w:val="nil"/>
            </w:tcBorders>
            <w:shd w:val="clear" w:color="auto" w:fill="E1E9F2"/>
            <w:vAlign w:val="center"/>
          </w:tcPr>
          <w:p w14:paraId="58E54239" w14:textId="77777777" w:rsidR="00795E60" w:rsidRDefault="00F56376">
            <w:pPr>
              <w:pStyle w:val="Tabellcell"/>
              <w:jc w:val="center"/>
            </w:pPr>
            <w:r>
              <w:rPr>
                <w:b/>
              </w:rPr>
              <w:t>Utfall</w:t>
            </w:r>
          </w:p>
        </w:tc>
        <w:tc>
          <w:tcPr>
            <w:tcW w:w="1701" w:type="dxa"/>
            <w:tcBorders>
              <w:top w:val="single" w:sz="4" w:space="0" w:color="auto"/>
              <w:left w:val="nil"/>
              <w:bottom w:val="single" w:sz="4" w:space="0" w:color="auto"/>
              <w:right w:val="nil"/>
            </w:tcBorders>
            <w:shd w:val="clear" w:color="auto" w:fill="E1E9F2"/>
            <w:vAlign w:val="center"/>
          </w:tcPr>
          <w:p w14:paraId="6E2A77CB" w14:textId="77777777" w:rsidR="00795E60" w:rsidRDefault="00F56376">
            <w:pPr>
              <w:pStyle w:val="Tabellcell"/>
              <w:jc w:val="center"/>
            </w:pPr>
            <w:r>
              <w:rPr>
                <w:b/>
              </w:rPr>
              <w:t>Årets målvärde</w:t>
            </w:r>
          </w:p>
        </w:tc>
        <w:tc>
          <w:tcPr>
            <w:tcW w:w="1701" w:type="dxa"/>
            <w:tcBorders>
              <w:top w:val="single" w:sz="4" w:space="0" w:color="auto"/>
              <w:left w:val="nil"/>
              <w:bottom w:val="single" w:sz="4" w:space="0" w:color="auto"/>
              <w:right w:val="nil"/>
            </w:tcBorders>
            <w:shd w:val="clear" w:color="auto" w:fill="E1E9F2"/>
            <w:vAlign w:val="center"/>
          </w:tcPr>
          <w:p w14:paraId="6E42A6F2" w14:textId="77777777" w:rsidR="00795E60" w:rsidRDefault="00F56376">
            <w:pPr>
              <w:pStyle w:val="Tabellcell"/>
              <w:jc w:val="center"/>
            </w:pPr>
            <w:r>
              <w:rPr>
                <w:b/>
              </w:rPr>
              <w:t>Långsiktigt målvärde</w:t>
            </w:r>
          </w:p>
        </w:tc>
      </w:tr>
      <w:tr w:rsidR="00FC2AD8" w14:paraId="23D093E8" w14:textId="77777777">
        <w:trPr>
          <w:cantSplit w:val="0"/>
        </w:trPr>
        <w:tc>
          <w:tcPr>
            <w:tcW w:w="4536" w:type="dxa"/>
            <w:tcBorders>
              <w:top w:val="single" w:sz="4" w:space="0" w:color="auto"/>
              <w:left w:val="nil"/>
              <w:bottom w:val="nil"/>
              <w:right w:val="nil"/>
            </w:tcBorders>
            <w:shd w:val="clear" w:color="auto" w:fill="FFFFFF"/>
          </w:tcPr>
          <w:p w14:paraId="6BBAE89C" w14:textId="77777777" w:rsidR="00795E60" w:rsidRDefault="00F56376">
            <w:pPr>
              <w:pStyle w:val="Tabellcell"/>
            </w:pPr>
            <w:r>
              <w:rPr>
                <w:b/>
              </w:rPr>
              <w:t xml:space="preserve">Verksamhetsmedel fördelade till regionalt finansierade kulturaktörer med uppdrag i Örebro läns kulturplan. (Målvärdet är 2023 års värde efter </w:t>
            </w:r>
            <w:r>
              <w:rPr>
                <w:b/>
              </w:rPr>
              <w:t>indexuppräkning)</w:t>
            </w:r>
          </w:p>
        </w:tc>
        <w:tc>
          <w:tcPr>
            <w:tcW w:w="1701" w:type="dxa"/>
            <w:tcBorders>
              <w:top w:val="single" w:sz="4" w:space="0" w:color="auto"/>
              <w:left w:val="nil"/>
              <w:bottom w:val="nil"/>
              <w:right w:val="nil"/>
            </w:tcBorders>
            <w:shd w:val="clear" w:color="auto" w:fill="FFFFFF"/>
          </w:tcPr>
          <w:p w14:paraId="7C7AA01B" w14:textId="77777777" w:rsidR="00795E60" w:rsidRDefault="00F56376">
            <w:pPr>
              <w:pStyle w:val="Tabellcell"/>
              <w:jc w:val="center"/>
            </w:pPr>
            <w:r>
              <w:t>117 397 000 kr</w:t>
            </w:r>
          </w:p>
        </w:tc>
        <w:tc>
          <w:tcPr>
            <w:tcW w:w="1701" w:type="dxa"/>
            <w:tcBorders>
              <w:top w:val="single" w:sz="4" w:space="0" w:color="auto"/>
              <w:left w:val="nil"/>
              <w:bottom w:val="nil"/>
              <w:right w:val="nil"/>
            </w:tcBorders>
            <w:shd w:val="clear" w:color="auto" w:fill="FFFFFF"/>
          </w:tcPr>
          <w:p w14:paraId="075D1A55" w14:textId="77777777" w:rsidR="00795E60" w:rsidRDefault="00F56376">
            <w:pPr>
              <w:pStyle w:val="Tabellcell"/>
              <w:jc w:val="center"/>
            </w:pPr>
            <w:r>
              <w:t>113 752 551</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19C7DF5C" w14:textId="77777777" w:rsidR="00795E60" w:rsidRDefault="00795E60">
            <w:pPr>
              <w:pStyle w:val="Tabellcell"/>
              <w:jc w:val="center"/>
            </w:pPr>
          </w:p>
        </w:tc>
      </w:tr>
      <w:tr w:rsidR="00FC2AD8" w14:paraId="1055113C" w14:textId="77777777">
        <w:trPr>
          <w:cantSplit w:val="0"/>
        </w:trPr>
        <w:tc>
          <w:tcPr>
            <w:tcW w:w="9639" w:type="dxa"/>
            <w:gridSpan w:val="4"/>
            <w:tcBorders>
              <w:top w:val="nil"/>
              <w:left w:val="nil"/>
              <w:bottom w:val="single" w:sz="4" w:space="0" w:color="auto"/>
              <w:right w:val="nil"/>
            </w:tcBorders>
            <w:shd w:val="clear" w:color="auto" w:fill="FFFFFF"/>
          </w:tcPr>
          <w:p w14:paraId="13C6E9B3" w14:textId="77777777" w:rsidR="00795E60" w:rsidRDefault="00F56376">
            <w:pPr>
              <w:pStyle w:val="Tabellcell"/>
              <w:widowControl w:val="0"/>
            </w:pPr>
            <w:r>
              <w:rPr>
                <w:b/>
                <w:i/>
              </w:rPr>
              <w:t>Kommentar</w:t>
            </w:r>
          </w:p>
          <w:p w14:paraId="51003744" w14:textId="77777777" w:rsidR="00795E60" w:rsidRDefault="00F56376">
            <w:pPr>
              <w:pStyle w:val="Tabellcell"/>
              <w:widowControl w:val="0"/>
            </w:pPr>
            <w:r>
              <w:t xml:space="preserve">De fördelade verksamhetsmedlen inom kultursamverkansmodellen och till aktörer med regionala verksamhetsmedel kultur 2025 har ökat något jämfört med de medel som fördelades 2023 efter att hänsyn har tagits till inflationen </w:t>
            </w:r>
            <w:r>
              <w:lastRenderedPageBreak/>
              <w:t>(KPI). Detta även när hänsyn har tagits till de föreningsmedel som flyttades till regionala verksamhetsmedel 2025.</w:t>
            </w:r>
          </w:p>
        </w:tc>
      </w:tr>
      <w:tr w:rsidR="00FC2AD8" w14:paraId="19EEF018" w14:textId="77777777">
        <w:trPr>
          <w:cantSplit w:val="0"/>
        </w:trPr>
        <w:tc>
          <w:tcPr>
            <w:tcW w:w="4536" w:type="dxa"/>
            <w:tcBorders>
              <w:top w:val="single" w:sz="4" w:space="0" w:color="auto"/>
              <w:left w:val="nil"/>
              <w:bottom w:val="nil"/>
              <w:right w:val="nil"/>
            </w:tcBorders>
            <w:shd w:val="clear" w:color="auto" w:fill="FFFFFF"/>
          </w:tcPr>
          <w:p w14:paraId="2A82E2FF" w14:textId="77777777" w:rsidR="00795E60" w:rsidRDefault="00F56376">
            <w:pPr>
              <w:pStyle w:val="Tabellcell"/>
            </w:pPr>
            <w:r>
              <w:rPr>
                <w:b/>
              </w:rPr>
              <w:lastRenderedPageBreak/>
              <w:t>Fördelning av verksamhetsmedel mellan kulturområdena (målvärde: en fördelning i paritet med 2023 enligt tabell)</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7A4B0CF3" w14:textId="77777777" w:rsidR="00795E60" w:rsidRDefault="00795E60">
            <w:pPr>
              <w:pStyle w:val="Tabellcell"/>
              <w:jc w:val="center"/>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2C3CCEF3" w14:textId="77777777" w:rsidR="00795E60" w:rsidRDefault="00795E60">
            <w:pPr>
              <w:pStyle w:val="Tabellcell"/>
              <w:jc w:val="center"/>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33DBFFBE" w14:textId="77777777" w:rsidR="00795E60" w:rsidRDefault="00795E60">
            <w:pPr>
              <w:pStyle w:val="Tabellcell"/>
              <w:jc w:val="center"/>
            </w:pPr>
          </w:p>
        </w:tc>
      </w:tr>
      <w:tr w:rsidR="00FC2AD8" w14:paraId="209AC26E" w14:textId="77777777">
        <w:trPr>
          <w:cantSplit w:val="0"/>
        </w:trPr>
        <w:tc>
          <w:tcPr>
            <w:tcW w:w="9639" w:type="dxa"/>
            <w:gridSpan w:val="4"/>
            <w:tcBorders>
              <w:top w:val="nil"/>
              <w:left w:val="nil"/>
              <w:bottom w:val="single" w:sz="4" w:space="0" w:color="auto"/>
              <w:right w:val="nil"/>
            </w:tcBorders>
            <w:shd w:val="clear" w:color="auto" w:fill="FFFFFF"/>
          </w:tcPr>
          <w:p w14:paraId="7E7D9AE9" w14:textId="77777777" w:rsidR="00795E60" w:rsidRDefault="00F56376">
            <w:pPr>
              <w:pStyle w:val="Tabellcell"/>
              <w:widowControl w:val="0"/>
            </w:pPr>
            <w:r>
              <w:rPr>
                <w:b/>
                <w:i/>
              </w:rPr>
              <w:t>Kommentar</w:t>
            </w:r>
          </w:p>
          <w:p w14:paraId="33ACE6D0" w14:textId="77777777" w:rsidR="00795E60" w:rsidRDefault="00F56376">
            <w:pPr>
              <w:pStyle w:val="Tabellcell"/>
              <w:widowControl w:val="0"/>
            </w:pPr>
            <w:r>
              <w:t>Fördelningen mellan de olika kulturområden har inte förändrats nämnvärt sedan 2023. Dansområdet har minskat något medan teatern har ökat något.</w:t>
            </w:r>
          </w:p>
          <w:tbl>
            <w:tblPr>
              <w:tblOverlap w:val="never"/>
              <w:tblW w:w="0" w:type="auto"/>
              <w:tblLayout w:type="fixed"/>
              <w:tblLook w:val="04A0" w:firstRow="1" w:lastRow="0" w:firstColumn="1" w:lastColumn="0" w:noHBand="0" w:noVBand="1"/>
            </w:tblPr>
            <w:tblGrid>
              <w:gridCol w:w="3141"/>
              <w:gridCol w:w="3141"/>
              <w:gridCol w:w="3141"/>
            </w:tblGrid>
            <w:tr w:rsidR="00FC2AD8" w14:paraId="2E7FCEF0" w14:textId="77777777">
              <w:trPr>
                <w:tblHeader/>
              </w:trPr>
              <w:tc>
                <w:tcPr>
                  <w:tcW w:w="3141" w:type="dxa"/>
                  <w:tcBorders>
                    <w:top w:val="single" w:sz="4" w:space="0" w:color="auto"/>
                    <w:left w:val="single" w:sz="4" w:space="0" w:color="auto"/>
                    <w:bottom w:val="single" w:sz="4" w:space="0" w:color="auto"/>
                    <w:right w:val="single" w:sz="4" w:space="0" w:color="auto"/>
                  </w:tcBorders>
                  <w:shd w:val="clear" w:color="auto" w:fill="E5E5E5"/>
                  <w:vAlign w:val="center"/>
                </w:tcPr>
                <w:p w14:paraId="0B1F914F" w14:textId="77777777" w:rsidR="00795E60" w:rsidRDefault="00F56376">
                  <w:pPr>
                    <w:pStyle w:val="Tabellcell"/>
                  </w:pPr>
                  <w:r>
                    <w:rPr>
                      <w:b/>
                    </w:rPr>
                    <w:t>Kulturområde</w:t>
                  </w:r>
                </w:p>
              </w:tc>
              <w:tc>
                <w:tcPr>
                  <w:tcW w:w="3141" w:type="dxa"/>
                  <w:tcBorders>
                    <w:top w:val="single" w:sz="4" w:space="0" w:color="auto"/>
                    <w:left w:val="single" w:sz="4" w:space="0" w:color="auto"/>
                    <w:bottom w:val="single" w:sz="4" w:space="0" w:color="auto"/>
                    <w:right w:val="single" w:sz="4" w:space="0" w:color="auto"/>
                  </w:tcBorders>
                  <w:shd w:val="clear" w:color="auto" w:fill="E5E5E5"/>
                  <w:vAlign w:val="center"/>
                </w:tcPr>
                <w:p w14:paraId="55162BB6" w14:textId="77777777" w:rsidR="00795E60" w:rsidRDefault="00F56376">
                  <w:pPr>
                    <w:pStyle w:val="Tabellcell"/>
                  </w:pPr>
                  <w:r>
                    <w:rPr>
                      <w:b/>
                    </w:rPr>
                    <w:t>Procentuell andel av medel 2025</w:t>
                  </w:r>
                </w:p>
              </w:tc>
              <w:tc>
                <w:tcPr>
                  <w:tcW w:w="3141" w:type="dxa"/>
                  <w:tcBorders>
                    <w:top w:val="single" w:sz="4" w:space="0" w:color="auto"/>
                    <w:left w:val="single" w:sz="4" w:space="0" w:color="auto"/>
                    <w:bottom w:val="single" w:sz="4" w:space="0" w:color="auto"/>
                    <w:right w:val="single" w:sz="4" w:space="0" w:color="auto"/>
                  </w:tcBorders>
                  <w:shd w:val="clear" w:color="auto" w:fill="E5E5E5"/>
                  <w:vAlign w:val="center"/>
                </w:tcPr>
                <w:p w14:paraId="4E97BECE" w14:textId="77777777" w:rsidR="00795E60" w:rsidRDefault="00F56376">
                  <w:pPr>
                    <w:pStyle w:val="Tabellcell"/>
                  </w:pPr>
                  <w:r>
                    <w:rPr>
                      <w:b/>
                    </w:rPr>
                    <w:t>Procentuell andel av medel 2023</w:t>
                  </w:r>
                </w:p>
              </w:tc>
            </w:tr>
            <w:tr w:rsidR="00FC2AD8" w14:paraId="7ED2E3BF" w14:textId="77777777">
              <w:tc>
                <w:tcPr>
                  <w:tcW w:w="3141" w:type="dxa"/>
                  <w:tcBorders>
                    <w:top w:val="single" w:sz="4" w:space="0" w:color="auto"/>
                    <w:left w:val="single" w:sz="4" w:space="0" w:color="auto"/>
                    <w:bottom w:val="single" w:sz="4" w:space="0" w:color="auto"/>
                    <w:right w:val="single" w:sz="4" w:space="0" w:color="auto"/>
                  </w:tcBorders>
                  <w:shd w:val="clear" w:color="auto" w:fill="FFFFFF"/>
                </w:tcPr>
                <w:p w14:paraId="78328874" w14:textId="77777777" w:rsidR="00795E60" w:rsidRDefault="00F56376">
                  <w:pPr>
                    <w:pStyle w:val="Tabellcell"/>
                  </w:pPr>
                  <w:r>
                    <w:t>Teater</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45A9BDFB" w14:textId="77777777" w:rsidR="00795E60" w:rsidRDefault="00F56376">
                  <w:pPr>
                    <w:pStyle w:val="Tabellcell"/>
                  </w:pPr>
                  <w:r>
                    <w:t>33</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1BEA1922" w14:textId="77777777" w:rsidR="00795E60" w:rsidRDefault="00F56376">
                  <w:pPr>
                    <w:pStyle w:val="Tabellcell"/>
                  </w:pPr>
                  <w:r>
                    <w:t>32</w:t>
                  </w:r>
                </w:p>
              </w:tc>
            </w:tr>
            <w:tr w:rsidR="00FC2AD8" w14:paraId="583D40ED" w14:textId="77777777">
              <w:tc>
                <w:tcPr>
                  <w:tcW w:w="3141" w:type="dxa"/>
                  <w:tcBorders>
                    <w:top w:val="single" w:sz="4" w:space="0" w:color="auto"/>
                    <w:left w:val="single" w:sz="4" w:space="0" w:color="auto"/>
                    <w:bottom w:val="single" w:sz="4" w:space="0" w:color="auto"/>
                    <w:right w:val="single" w:sz="4" w:space="0" w:color="auto"/>
                  </w:tcBorders>
                  <w:shd w:val="clear" w:color="auto" w:fill="FFFFFF"/>
                </w:tcPr>
                <w:p w14:paraId="7B7811A4" w14:textId="77777777" w:rsidR="00795E60" w:rsidRDefault="00F56376">
                  <w:pPr>
                    <w:pStyle w:val="Tabellcell"/>
                  </w:pPr>
                  <w:r>
                    <w:t>Museum</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4849B923" w14:textId="77777777" w:rsidR="00795E60" w:rsidRDefault="00F56376">
                  <w:pPr>
                    <w:pStyle w:val="Tabellcell"/>
                  </w:pPr>
                  <w:r>
                    <w:t>25</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4F505798" w14:textId="77777777" w:rsidR="00795E60" w:rsidRDefault="00F56376">
                  <w:pPr>
                    <w:pStyle w:val="Tabellcell"/>
                  </w:pPr>
                  <w:r>
                    <w:t>25</w:t>
                  </w:r>
                </w:p>
              </w:tc>
            </w:tr>
            <w:tr w:rsidR="00FC2AD8" w14:paraId="6DB30F00" w14:textId="77777777">
              <w:tc>
                <w:tcPr>
                  <w:tcW w:w="3141" w:type="dxa"/>
                  <w:tcBorders>
                    <w:top w:val="single" w:sz="4" w:space="0" w:color="auto"/>
                    <w:left w:val="single" w:sz="4" w:space="0" w:color="auto"/>
                    <w:bottom w:val="single" w:sz="4" w:space="0" w:color="auto"/>
                    <w:right w:val="single" w:sz="4" w:space="0" w:color="auto"/>
                  </w:tcBorders>
                  <w:shd w:val="clear" w:color="auto" w:fill="FFFFFF"/>
                </w:tcPr>
                <w:p w14:paraId="40F0B4B7" w14:textId="77777777" w:rsidR="00795E60" w:rsidRDefault="00F56376">
                  <w:pPr>
                    <w:pStyle w:val="Tabellcell"/>
                  </w:pPr>
                  <w:r>
                    <w:t>Musik</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6D51AA8B" w14:textId="77777777" w:rsidR="00795E60" w:rsidRDefault="00F56376">
                  <w:pPr>
                    <w:pStyle w:val="Tabellcell"/>
                  </w:pPr>
                  <w:r>
                    <w:t>23</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71087D12" w14:textId="77777777" w:rsidR="00795E60" w:rsidRDefault="00F56376">
                  <w:pPr>
                    <w:pStyle w:val="Tabellcell"/>
                  </w:pPr>
                  <w:r>
                    <w:t>24</w:t>
                  </w:r>
                </w:p>
              </w:tc>
            </w:tr>
            <w:tr w:rsidR="00FC2AD8" w14:paraId="713B1C2D" w14:textId="77777777">
              <w:tc>
                <w:tcPr>
                  <w:tcW w:w="3141" w:type="dxa"/>
                  <w:tcBorders>
                    <w:top w:val="single" w:sz="4" w:space="0" w:color="auto"/>
                    <w:left w:val="single" w:sz="4" w:space="0" w:color="auto"/>
                    <w:bottom w:val="single" w:sz="4" w:space="0" w:color="auto"/>
                    <w:right w:val="single" w:sz="4" w:space="0" w:color="auto"/>
                  </w:tcBorders>
                  <w:shd w:val="clear" w:color="auto" w:fill="FFFFFF"/>
                </w:tcPr>
                <w:p w14:paraId="09536FC2" w14:textId="77777777" w:rsidR="00795E60" w:rsidRDefault="00F56376">
                  <w:pPr>
                    <w:pStyle w:val="Tabellcell"/>
                  </w:pPr>
                  <w:r>
                    <w:t>Regional biblioteksverksamhet</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60F32996" w14:textId="77777777" w:rsidR="00795E60" w:rsidRDefault="00F56376">
                  <w:pPr>
                    <w:pStyle w:val="Tabellcell"/>
                  </w:pPr>
                  <w:r>
                    <w:t>4</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6B8F3D9A" w14:textId="77777777" w:rsidR="00795E60" w:rsidRDefault="00F56376">
                  <w:pPr>
                    <w:pStyle w:val="Tabellcell"/>
                  </w:pPr>
                  <w:r>
                    <w:t>4</w:t>
                  </w:r>
                </w:p>
              </w:tc>
            </w:tr>
            <w:tr w:rsidR="00FC2AD8" w14:paraId="3C2C1475" w14:textId="77777777">
              <w:tc>
                <w:tcPr>
                  <w:tcW w:w="3141" w:type="dxa"/>
                  <w:tcBorders>
                    <w:top w:val="single" w:sz="4" w:space="0" w:color="auto"/>
                    <w:left w:val="single" w:sz="4" w:space="0" w:color="auto"/>
                    <w:bottom w:val="single" w:sz="4" w:space="0" w:color="auto"/>
                    <w:right w:val="single" w:sz="4" w:space="0" w:color="auto"/>
                  </w:tcBorders>
                  <w:shd w:val="clear" w:color="auto" w:fill="FFFFFF"/>
                </w:tcPr>
                <w:p w14:paraId="03B4E575" w14:textId="77777777" w:rsidR="00795E60" w:rsidRDefault="00F56376">
                  <w:pPr>
                    <w:pStyle w:val="Tabellcell"/>
                  </w:pPr>
                  <w:r>
                    <w:t>Arkiv</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4DD37DC3" w14:textId="77777777" w:rsidR="00795E60" w:rsidRDefault="00F56376">
                  <w:pPr>
                    <w:pStyle w:val="Tabellcell"/>
                  </w:pPr>
                  <w:r>
                    <w:t>4</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458C8DE3" w14:textId="77777777" w:rsidR="00795E60" w:rsidRDefault="00F56376">
                  <w:pPr>
                    <w:pStyle w:val="Tabellcell"/>
                  </w:pPr>
                  <w:r>
                    <w:t>4</w:t>
                  </w:r>
                </w:p>
              </w:tc>
            </w:tr>
            <w:tr w:rsidR="00FC2AD8" w14:paraId="6293D65B" w14:textId="77777777">
              <w:tc>
                <w:tcPr>
                  <w:tcW w:w="3141" w:type="dxa"/>
                  <w:tcBorders>
                    <w:top w:val="single" w:sz="4" w:space="0" w:color="auto"/>
                    <w:left w:val="single" w:sz="4" w:space="0" w:color="auto"/>
                    <w:bottom w:val="single" w:sz="4" w:space="0" w:color="auto"/>
                    <w:right w:val="single" w:sz="4" w:space="0" w:color="auto"/>
                  </w:tcBorders>
                  <w:shd w:val="clear" w:color="auto" w:fill="FFFFFF"/>
                </w:tcPr>
                <w:p w14:paraId="0219A1ED" w14:textId="77777777" w:rsidR="00795E60" w:rsidRDefault="00F56376">
                  <w:pPr>
                    <w:pStyle w:val="Tabellcell"/>
                  </w:pPr>
                  <w:r>
                    <w:t>Film</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2C65B746" w14:textId="77777777" w:rsidR="00795E60" w:rsidRDefault="00F56376">
                  <w:pPr>
                    <w:pStyle w:val="Tabellcell"/>
                  </w:pPr>
                  <w:r>
                    <w:t>3</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5534B86B" w14:textId="77777777" w:rsidR="00795E60" w:rsidRDefault="00F56376">
                  <w:pPr>
                    <w:pStyle w:val="Tabellcell"/>
                  </w:pPr>
                  <w:r>
                    <w:t>3</w:t>
                  </w:r>
                </w:p>
              </w:tc>
            </w:tr>
            <w:tr w:rsidR="00FC2AD8" w14:paraId="5AA56671" w14:textId="77777777">
              <w:tc>
                <w:tcPr>
                  <w:tcW w:w="3141" w:type="dxa"/>
                  <w:tcBorders>
                    <w:top w:val="single" w:sz="4" w:space="0" w:color="auto"/>
                    <w:left w:val="single" w:sz="4" w:space="0" w:color="auto"/>
                    <w:bottom w:val="single" w:sz="4" w:space="0" w:color="auto"/>
                    <w:right w:val="single" w:sz="4" w:space="0" w:color="auto"/>
                  </w:tcBorders>
                  <w:shd w:val="clear" w:color="auto" w:fill="FFFFFF"/>
                </w:tcPr>
                <w:p w14:paraId="5C935A11" w14:textId="77777777" w:rsidR="00795E60" w:rsidRDefault="00F56376">
                  <w:pPr>
                    <w:pStyle w:val="Tabellcell"/>
                  </w:pPr>
                  <w:r>
                    <w:t>Dans</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1BF3256E" w14:textId="77777777" w:rsidR="00795E60" w:rsidRDefault="00F56376">
                  <w:pPr>
                    <w:pStyle w:val="Tabellcell"/>
                  </w:pPr>
                  <w:r>
                    <w:t>2</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59EFABF9" w14:textId="77777777" w:rsidR="00795E60" w:rsidRDefault="00F56376">
                  <w:pPr>
                    <w:pStyle w:val="Tabellcell"/>
                  </w:pPr>
                  <w:r>
                    <w:t>3</w:t>
                  </w:r>
                </w:p>
              </w:tc>
            </w:tr>
            <w:tr w:rsidR="00FC2AD8" w14:paraId="23A9FC49" w14:textId="77777777">
              <w:tc>
                <w:tcPr>
                  <w:tcW w:w="3141" w:type="dxa"/>
                  <w:tcBorders>
                    <w:top w:val="single" w:sz="4" w:space="0" w:color="auto"/>
                    <w:left w:val="single" w:sz="4" w:space="0" w:color="auto"/>
                    <w:bottom w:val="single" w:sz="4" w:space="0" w:color="auto"/>
                    <w:right w:val="single" w:sz="4" w:space="0" w:color="auto"/>
                  </w:tcBorders>
                  <w:shd w:val="clear" w:color="auto" w:fill="FFFFFF"/>
                </w:tcPr>
                <w:p w14:paraId="1657E7FA" w14:textId="77777777" w:rsidR="00795E60" w:rsidRDefault="00F56376">
                  <w:pPr>
                    <w:pStyle w:val="Tabellcell"/>
                  </w:pPr>
                  <w:r>
                    <w:t>Bild och form</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456B1D03" w14:textId="77777777" w:rsidR="00795E60" w:rsidRDefault="00F56376">
                  <w:pPr>
                    <w:pStyle w:val="Tabellcell"/>
                  </w:pPr>
                  <w:r>
                    <w:t>2</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3944E8F6" w14:textId="77777777" w:rsidR="00795E60" w:rsidRDefault="00F56376">
                  <w:pPr>
                    <w:pStyle w:val="Tabellcell"/>
                  </w:pPr>
                  <w:r>
                    <w:t>2</w:t>
                  </w:r>
                </w:p>
              </w:tc>
            </w:tr>
            <w:tr w:rsidR="00FC2AD8" w14:paraId="1A6B2CA7" w14:textId="77777777">
              <w:tc>
                <w:tcPr>
                  <w:tcW w:w="3141" w:type="dxa"/>
                  <w:tcBorders>
                    <w:top w:val="single" w:sz="4" w:space="0" w:color="auto"/>
                    <w:left w:val="single" w:sz="4" w:space="0" w:color="auto"/>
                    <w:bottom w:val="single" w:sz="4" w:space="0" w:color="auto"/>
                    <w:right w:val="single" w:sz="4" w:space="0" w:color="auto"/>
                  </w:tcBorders>
                  <w:shd w:val="clear" w:color="auto" w:fill="FFFFFF"/>
                </w:tcPr>
                <w:p w14:paraId="4B404AF8" w14:textId="77777777" w:rsidR="00795E60" w:rsidRDefault="00F56376">
                  <w:pPr>
                    <w:pStyle w:val="Tabellcell"/>
                  </w:pPr>
                  <w:r>
                    <w:t>Genreövergripande</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7C88ECBF" w14:textId="77777777" w:rsidR="00795E60" w:rsidRDefault="00F56376">
                  <w:pPr>
                    <w:pStyle w:val="Tabellcell"/>
                  </w:pPr>
                  <w:r>
                    <w:t>1</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2BEF67BB" w14:textId="77777777" w:rsidR="00795E60" w:rsidRDefault="00F56376">
                  <w:pPr>
                    <w:pStyle w:val="Tabellcell"/>
                  </w:pPr>
                  <w:r>
                    <w:t>1</w:t>
                  </w:r>
                </w:p>
              </w:tc>
            </w:tr>
            <w:tr w:rsidR="00FC2AD8" w14:paraId="402FD203" w14:textId="77777777">
              <w:tc>
                <w:tcPr>
                  <w:tcW w:w="3141" w:type="dxa"/>
                  <w:tcBorders>
                    <w:top w:val="single" w:sz="4" w:space="0" w:color="auto"/>
                    <w:left w:val="single" w:sz="4" w:space="0" w:color="auto"/>
                    <w:bottom w:val="single" w:sz="4" w:space="0" w:color="auto"/>
                    <w:right w:val="single" w:sz="4" w:space="0" w:color="auto"/>
                  </w:tcBorders>
                  <w:shd w:val="clear" w:color="auto" w:fill="FFFFFF"/>
                </w:tcPr>
                <w:p w14:paraId="1C9CD398" w14:textId="77777777" w:rsidR="00795E60" w:rsidRDefault="00F56376">
                  <w:pPr>
                    <w:pStyle w:val="Tabellcell"/>
                  </w:pPr>
                  <w:r>
                    <w:t>Litteratur</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476E284A" w14:textId="77777777" w:rsidR="00795E60" w:rsidRDefault="00F56376">
                  <w:pPr>
                    <w:pStyle w:val="Tabellcell"/>
                  </w:pPr>
                  <w:r>
                    <w:t>1</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680C6FF4" w14:textId="77777777" w:rsidR="00795E60" w:rsidRDefault="00F56376">
                  <w:pPr>
                    <w:pStyle w:val="Tabellcell"/>
                  </w:pPr>
                  <w:r>
                    <w:t>ingick i bibliotek</w:t>
                  </w:r>
                </w:p>
              </w:tc>
            </w:tr>
            <w:tr w:rsidR="00FC2AD8" w14:paraId="49910038" w14:textId="77777777">
              <w:tc>
                <w:tcPr>
                  <w:tcW w:w="3141" w:type="dxa"/>
                  <w:tcBorders>
                    <w:top w:val="single" w:sz="4" w:space="0" w:color="auto"/>
                    <w:left w:val="single" w:sz="4" w:space="0" w:color="auto"/>
                    <w:bottom w:val="single" w:sz="4" w:space="0" w:color="auto"/>
                    <w:right w:val="single" w:sz="4" w:space="0" w:color="auto"/>
                  </w:tcBorders>
                  <w:shd w:val="clear" w:color="auto" w:fill="FFFFFF"/>
                </w:tcPr>
                <w:p w14:paraId="059885ED" w14:textId="77777777" w:rsidR="00795E60" w:rsidRDefault="00F56376">
                  <w:pPr>
                    <w:pStyle w:val="Tabellcell"/>
                  </w:pPr>
                  <w:r>
                    <w:t>Slöjd</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4756777D" w14:textId="77777777" w:rsidR="00795E60" w:rsidRDefault="00F56376">
                  <w:pPr>
                    <w:pStyle w:val="Tabellcell"/>
                  </w:pPr>
                  <w:r>
                    <w:t>1</w:t>
                  </w:r>
                </w:p>
              </w:tc>
              <w:tc>
                <w:tcPr>
                  <w:tcW w:w="3141" w:type="dxa"/>
                  <w:tcBorders>
                    <w:top w:val="single" w:sz="4" w:space="0" w:color="auto"/>
                    <w:left w:val="single" w:sz="4" w:space="0" w:color="auto"/>
                    <w:bottom w:val="single" w:sz="4" w:space="0" w:color="auto"/>
                    <w:right w:val="single" w:sz="4" w:space="0" w:color="auto"/>
                  </w:tcBorders>
                  <w:shd w:val="clear" w:color="auto" w:fill="FFFFFF"/>
                </w:tcPr>
                <w:p w14:paraId="5B32DE8F" w14:textId="77777777" w:rsidR="00795E60" w:rsidRDefault="00F56376">
                  <w:pPr>
                    <w:pStyle w:val="Tabellcell"/>
                  </w:pPr>
                  <w:r>
                    <w:t>1</w:t>
                  </w:r>
                </w:p>
              </w:tc>
            </w:tr>
          </w:tbl>
          <w:p w14:paraId="5AC2503D" w14:textId="77777777" w:rsidR="00795E60" w:rsidRDefault="00795E60">
            <w:pPr>
              <w:pStyle w:val="Tabellcell"/>
            </w:pPr>
          </w:p>
          <w:p w14:paraId="6B8D2394" w14:textId="77777777" w:rsidR="00795E60" w:rsidRDefault="00F56376">
            <w:pPr>
              <w:pStyle w:val="Tabellcell"/>
              <w:widowControl w:val="0"/>
            </w:pPr>
            <w:r>
              <w:t> </w:t>
            </w:r>
          </w:p>
        </w:tc>
      </w:tr>
      <w:tr w:rsidR="00FC2AD8" w14:paraId="6F20153F" w14:textId="77777777">
        <w:trPr>
          <w:cantSplit w:val="0"/>
        </w:trPr>
        <w:tc>
          <w:tcPr>
            <w:tcW w:w="4536" w:type="dxa"/>
            <w:tcBorders>
              <w:top w:val="single" w:sz="4" w:space="0" w:color="auto"/>
              <w:left w:val="nil"/>
              <w:bottom w:val="nil"/>
              <w:right w:val="nil"/>
            </w:tcBorders>
            <w:shd w:val="clear" w:color="auto" w:fill="FFFFFF"/>
          </w:tcPr>
          <w:p w14:paraId="6C21AB88" w14:textId="77777777" w:rsidR="00795E60" w:rsidRDefault="00F56376">
            <w:pPr>
              <w:pStyle w:val="Tabellcell"/>
            </w:pPr>
            <w:r>
              <w:rPr>
                <w:b/>
              </w:rPr>
              <w:t xml:space="preserve">De regionalt finansierade kulturaktörernas anlitande av </w:t>
            </w:r>
            <w:r>
              <w:rPr>
                <w:b/>
              </w:rPr>
              <w:t>frilansare (Målvärdet är 2023 års värde efter indexuppräkning)</w:t>
            </w:r>
          </w:p>
        </w:tc>
        <w:tc>
          <w:tcPr>
            <w:tcW w:w="1701" w:type="dxa"/>
            <w:tcBorders>
              <w:top w:val="single" w:sz="4" w:space="0" w:color="auto"/>
              <w:left w:val="nil"/>
              <w:bottom w:val="nil"/>
              <w:right w:val="nil"/>
            </w:tcBorders>
            <w:shd w:val="clear" w:color="auto" w:fill="FFFFFF"/>
          </w:tcPr>
          <w:p w14:paraId="62BE7BBD" w14:textId="77777777" w:rsidR="00795E60" w:rsidRDefault="00F56376">
            <w:pPr>
              <w:pStyle w:val="Tabellcell"/>
              <w:jc w:val="center"/>
            </w:pPr>
            <w:r>
              <w:t>10 559 616 kr</w:t>
            </w:r>
          </w:p>
        </w:tc>
        <w:tc>
          <w:tcPr>
            <w:tcW w:w="1701" w:type="dxa"/>
            <w:tcBorders>
              <w:top w:val="single" w:sz="4" w:space="0" w:color="auto"/>
              <w:left w:val="nil"/>
              <w:bottom w:val="nil"/>
              <w:right w:val="nil"/>
            </w:tcBorders>
            <w:shd w:val="clear" w:color="auto" w:fill="FFFFFF"/>
          </w:tcPr>
          <w:p w14:paraId="409DDAE6" w14:textId="77777777" w:rsidR="00795E60" w:rsidRDefault="00F56376">
            <w:pPr>
              <w:pStyle w:val="Tabellcell"/>
              <w:jc w:val="center"/>
            </w:pPr>
            <w:r>
              <w:t>2023 års värde:8 508 012 kr indexuppräknat</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02E39036" w14:textId="77777777" w:rsidR="00795E60" w:rsidRDefault="00795E60">
            <w:pPr>
              <w:pStyle w:val="Tabellcell"/>
              <w:jc w:val="center"/>
            </w:pPr>
          </w:p>
        </w:tc>
      </w:tr>
      <w:tr w:rsidR="00FC2AD8" w14:paraId="0DF56B6D" w14:textId="77777777">
        <w:trPr>
          <w:cantSplit w:val="0"/>
        </w:trPr>
        <w:tc>
          <w:tcPr>
            <w:tcW w:w="9639" w:type="dxa"/>
            <w:gridSpan w:val="4"/>
            <w:tcBorders>
              <w:top w:val="nil"/>
              <w:left w:val="nil"/>
              <w:bottom w:val="single" w:sz="4" w:space="0" w:color="auto"/>
              <w:right w:val="nil"/>
            </w:tcBorders>
            <w:shd w:val="clear" w:color="auto" w:fill="FFFFFF"/>
          </w:tcPr>
          <w:p w14:paraId="3CDC037B" w14:textId="77777777" w:rsidR="00795E60" w:rsidRDefault="00F56376">
            <w:pPr>
              <w:pStyle w:val="Tabellcell"/>
              <w:widowControl w:val="0"/>
            </w:pPr>
            <w:r>
              <w:rPr>
                <w:b/>
                <w:i/>
              </w:rPr>
              <w:t>Kommentar</w:t>
            </w:r>
          </w:p>
          <w:p w14:paraId="5F7E5E52" w14:textId="77777777" w:rsidR="00795E60" w:rsidRDefault="00F56376">
            <w:pPr>
              <w:pStyle w:val="Tabellcell"/>
              <w:widowControl w:val="0"/>
            </w:pPr>
            <w:r>
              <w:t>Det senast kända värdet är för 2024. Medlen till frilansare har ökat sedan 2023 efter indexuppräkning (KPI).</w:t>
            </w:r>
          </w:p>
        </w:tc>
      </w:tr>
      <w:tr w:rsidR="00FC2AD8" w14:paraId="641939DC" w14:textId="77777777">
        <w:trPr>
          <w:cantSplit w:val="0"/>
        </w:trPr>
        <w:tc>
          <w:tcPr>
            <w:tcW w:w="4536" w:type="dxa"/>
            <w:tcBorders>
              <w:top w:val="single" w:sz="4" w:space="0" w:color="auto"/>
              <w:left w:val="nil"/>
              <w:bottom w:val="nil"/>
              <w:right w:val="nil"/>
            </w:tcBorders>
            <w:shd w:val="clear" w:color="auto" w:fill="FFFFFF"/>
          </w:tcPr>
          <w:p w14:paraId="1B26DCD6" w14:textId="77777777" w:rsidR="00795E60" w:rsidRDefault="00F56376">
            <w:pPr>
              <w:pStyle w:val="Tabellcell"/>
            </w:pPr>
            <w:r>
              <w:rPr>
                <w:b/>
              </w:rPr>
              <w:t xml:space="preserve">De </w:t>
            </w:r>
            <w:r>
              <w:rPr>
                <w:b/>
              </w:rPr>
              <w:t>regionalt finansierade kulturaktörernas publik, besökare och deltagare (Målvärde i paritet med 2023)</w:t>
            </w:r>
          </w:p>
        </w:tc>
        <w:tc>
          <w:tcPr>
            <w:tcW w:w="1701" w:type="dxa"/>
            <w:tcBorders>
              <w:top w:val="single" w:sz="4" w:space="0" w:color="auto"/>
              <w:left w:val="nil"/>
              <w:bottom w:val="nil"/>
              <w:right w:val="nil"/>
            </w:tcBorders>
            <w:shd w:val="clear" w:color="auto" w:fill="FFFFFF"/>
          </w:tcPr>
          <w:p w14:paraId="3CF2C5F9" w14:textId="77777777" w:rsidR="00795E60" w:rsidRDefault="00F56376">
            <w:pPr>
              <w:pStyle w:val="Tabellcell"/>
              <w:jc w:val="center"/>
            </w:pPr>
            <w:r>
              <w:t>389 221 st</w:t>
            </w:r>
          </w:p>
        </w:tc>
        <w:tc>
          <w:tcPr>
            <w:tcW w:w="1701" w:type="dxa"/>
            <w:tcBorders>
              <w:top w:val="single" w:sz="4" w:space="0" w:color="auto"/>
              <w:left w:val="nil"/>
              <w:bottom w:val="nil"/>
              <w:right w:val="nil"/>
            </w:tcBorders>
            <w:shd w:val="clear" w:color="auto" w:fill="FFFFFF"/>
          </w:tcPr>
          <w:p w14:paraId="48A1BF31" w14:textId="77777777" w:rsidR="00795E60" w:rsidRDefault="00F56376">
            <w:pPr>
              <w:pStyle w:val="Tabellcell"/>
              <w:jc w:val="center"/>
            </w:pPr>
            <w:r>
              <w:t>364 774 st</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00309D8F" w14:textId="77777777" w:rsidR="00795E60" w:rsidRDefault="00795E60">
            <w:pPr>
              <w:pStyle w:val="Tabellcell"/>
              <w:jc w:val="center"/>
            </w:pPr>
          </w:p>
        </w:tc>
      </w:tr>
      <w:tr w:rsidR="00FC2AD8" w14:paraId="3137A8AB" w14:textId="77777777">
        <w:trPr>
          <w:cantSplit w:val="0"/>
        </w:trPr>
        <w:tc>
          <w:tcPr>
            <w:tcW w:w="9639" w:type="dxa"/>
            <w:gridSpan w:val="4"/>
            <w:tcBorders>
              <w:top w:val="nil"/>
              <w:left w:val="nil"/>
              <w:bottom w:val="single" w:sz="4" w:space="0" w:color="auto"/>
              <w:right w:val="nil"/>
            </w:tcBorders>
            <w:shd w:val="clear" w:color="auto" w:fill="FFFFFF"/>
          </w:tcPr>
          <w:p w14:paraId="36CD8EA1" w14:textId="77777777" w:rsidR="00795E60" w:rsidRDefault="00F56376">
            <w:pPr>
              <w:pStyle w:val="Tabellcell"/>
              <w:widowControl w:val="0"/>
            </w:pPr>
            <w:r>
              <w:rPr>
                <w:b/>
                <w:i/>
              </w:rPr>
              <w:t>Kommentar</w:t>
            </w:r>
          </w:p>
          <w:p w14:paraId="06E59953" w14:textId="77777777" w:rsidR="00795E60" w:rsidRDefault="00F56376">
            <w:pPr>
              <w:pStyle w:val="Tabellcell"/>
              <w:widowControl w:val="0"/>
            </w:pPr>
            <w:r>
              <w:t>Det senast kända värdet är för 2024. Det är något fler besökare och deltagare 2024 jämfört med 2023 då besökarna var 364 774 st.</w:t>
            </w:r>
          </w:p>
        </w:tc>
      </w:tr>
      <w:tr w:rsidR="00FC2AD8" w14:paraId="7AE072FB" w14:textId="77777777">
        <w:trPr>
          <w:cantSplit w:val="0"/>
        </w:trPr>
        <w:tc>
          <w:tcPr>
            <w:tcW w:w="4536" w:type="dxa"/>
            <w:tcBorders>
              <w:top w:val="single" w:sz="4" w:space="0" w:color="auto"/>
              <w:left w:val="nil"/>
              <w:bottom w:val="nil"/>
              <w:right w:val="nil"/>
            </w:tcBorders>
            <w:shd w:val="clear" w:color="auto" w:fill="FFFFFF"/>
          </w:tcPr>
          <w:p w14:paraId="3F4E85B5" w14:textId="77777777" w:rsidR="00795E60" w:rsidRDefault="00F56376">
            <w:pPr>
              <w:pStyle w:val="Tabellcell"/>
            </w:pPr>
            <w:r>
              <w:rPr>
                <w:b/>
              </w:rPr>
              <w:t>De regionalt finansierade kulturaktörernas årsarbetskrafter (Målvärde i paritet med 2023)</w:t>
            </w:r>
          </w:p>
        </w:tc>
        <w:tc>
          <w:tcPr>
            <w:tcW w:w="1701" w:type="dxa"/>
            <w:tcBorders>
              <w:top w:val="single" w:sz="4" w:space="0" w:color="auto"/>
              <w:left w:val="nil"/>
              <w:bottom w:val="nil"/>
              <w:right w:val="nil"/>
            </w:tcBorders>
            <w:shd w:val="clear" w:color="auto" w:fill="FFFFFF"/>
          </w:tcPr>
          <w:p w14:paraId="426C4593" w14:textId="77777777" w:rsidR="00795E60" w:rsidRDefault="00F56376">
            <w:pPr>
              <w:pStyle w:val="Tabellcell"/>
              <w:jc w:val="center"/>
            </w:pPr>
            <w:r>
              <w:t>177 st</w:t>
            </w:r>
          </w:p>
        </w:tc>
        <w:tc>
          <w:tcPr>
            <w:tcW w:w="1701" w:type="dxa"/>
            <w:tcBorders>
              <w:top w:val="single" w:sz="4" w:space="0" w:color="auto"/>
              <w:left w:val="nil"/>
              <w:bottom w:val="nil"/>
              <w:right w:val="nil"/>
            </w:tcBorders>
            <w:shd w:val="clear" w:color="auto" w:fill="FFFFFF"/>
          </w:tcPr>
          <w:p w14:paraId="4EB5E38E" w14:textId="77777777" w:rsidR="00795E60" w:rsidRDefault="00F56376">
            <w:pPr>
              <w:pStyle w:val="Tabellcell"/>
              <w:jc w:val="center"/>
            </w:pPr>
            <w:r>
              <w:t>175 st</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32E79F8B" w14:textId="77777777" w:rsidR="00795E60" w:rsidRDefault="00795E60">
            <w:pPr>
              <w:pStyle w:val="Tabellcell"/>
              <w:jc w:val="center"/>
            </w:pPr>
          </w:p>
        </w:tc>
      </w:tr>
      <w:tr w:rsidR="00FC2AD8" w14:paraId="4F8B86BD" w14:textId="77777777">
        <w:trPr>
          <w:cantSplit w:val="0"/>
        </w:trPr>
        <w:tc>
          <w:tcPr>
            <w:tcW w:w="9639" w:type="dxa"/>
            <w:gridSpan w:val="4"/>
            <w:tcBorders>
              <w:top w:val="nil"/>
              <w:left w:val="nil"/>
              <w:bottom w:val="single" w:sz="4" w:space="0" w:color="auto"/>
              <w:right w:val="nil"/>
            </w:tcBorders>
            <w:shd w:val="clear" w:color="auto" w:fill="FFFFFF"/>
          </w:tcPr>
          <w:p w14:paraId="0FA7FF12" w14:textId="77777777" w:rsidR="00795E60" w:rsidRDefault="00F56376">
            <w:pPr>
              <w:pStyle w:val="Tabellcell"/>
              <w:widowControl w:val="0"/>
            </w:pPr>
            <w:r>
              <w:rPr>
                <w:b/>
                <w:i/>
              </w:rPr>
              <w:t>Kommentar</w:t>
            </w:r>
          </w:p>
          <w:p w14:paraId="3AF120FE" w14:textId="77777777" w:rsidR="00795E60" w:rsidRDefault="00F56376">
            <w:pPr>
              <w:pStyle w:val="Tabellcell"/>
              <w:widowControl w:val="0"/>
            </w:pPr>
            <w:r>
              <w:t>Det senast kända värdet är för 2024. Årsarbetskrafterna är i paritet med 2023 års siffror, då årsarbetskrafterna var 175 st.</w:t>
            </w:r>
          </w:p>
        </w:tc>
      </w:tr>
      <w:tr w:rsidR="00FC2AD8" w14:paraId="7DB45B0F" w14:textId="77777777">
        <w:trPr>
          <w:cantSplit w:val="0"/>
        </w:trPr>
        <w:tc>
          <w:tcPr>
            <w:tcW w:w="4536" w:type="dxa"/>
            <w:tcBorders>
              <w:top w:val="single" w:sz="4" w:space="0" w:color="auto"/>
              <w:left w:val="nil"/>
              <w:bottom w:val="nil"/>
              <w:right w:val="nil"/>
            </w:tcBorders>
            <w:shd w:val="clear" w:color="auto" w:fill="FFFFFF"/>
          </w:tcPr>
          <w:p w14:paraId="36BCF207" w14:textId="77777777" w:rsidR="00795E60" w:rsidRDefault="00F56376">
            <w:pPr>
              <w:pStyle w:val="Tabellcell"/>
            </w:pPr>
            <w:r>
              <w:rPr>
                <w:b/>
              </w:rPr>
              <w:t>Fördelning av medel till kulturföreningar (Målvärdet är 2023 års värde efter indexuppräkning)</w:t>
            </w:r>
          </w:p>
        </w:tc>
        <w:tc>
          <w:tcPr>
            <w:tcW w:w="1701" w:type="dxa"/>
            <w:tcBorders>
              <w:top w:val="single" w:sz="4" w:space="0" w:color="auto"/>
              <w:left w:val="nil"/>
              <w:bottom w:val="nil"/>
              <w:right w:val="nil"/>
            </w:tcBorders>
            <w:shd w:val="clear" w:color="auto" w:fill="FFFFFF"/>
          </w:tcPr>
          <w:p w14:paraId="099DC991" w14:textId="77777777" w:rsidR="00795E60" w:rsidRDefault="00F56376">
            <w:pPr>
              <w:pStyle w:val="Tabellcell"/>
              <w:jc w:val="center"/>
            </w:pPr>
            <w:r>
              <w:t>1 163 000 kr</w:t>
            </w:r>
          </w:p>
        </w:tc>
        <w:tc>
          <w:tcPr>
            <w:tcW w:w="1701" w:type="dxa"/>
            <w:tcBorders>
              <w:top w:val="single" w:sz="4" w:space="0" w:color="auto"/>
              <w:left w:val="nil"/>
              <w:bottom w:val="nil"/>
              <w:right w:val="nil"/>
            </w:tcBorders>
            <w:shd w:val="clear" w:color="auto" w:fill="FFFFFF"/>
          </w:tcPr>
          <w:p w14:paraId="054A7D0C" w14:textId="77777777" w:rsidR="00795E60" w:rsidRDefault="00F56376">
            <w:pPr>
              <w:pStyle w:val="Tabellcell"/>
              <w:jc w:val="center"/>
            </w:pPr>
            <w:r>
              <w:t>2 497 034</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15ABDFC6" w14:textId="77777777" w:rsidR="00795E60" w:rsidRDefault="00795E60">
            <w:pPr>
              <w:pStyle w:val="Tabellcell"/>
              <w:jc w:val="center"/>
            </w:pPr>
          </w:p>
        </w:tc>
      </w:tr>
      <w:tr w:rsidR="00FC2AD8" w14:paraId="7015B3C2" w14:textId="77777777">
        <w:trPr>
          <w:cantSplit w:val="0"/>
        </w:trPr>
        <w:tc>
          <w:tcPr>
            <w:tcW w:w="9639" w:type="dxa"/>
            <w:gridSpan w:val="4"/>
            <w:tcBorders>
              <w:top w:val="nil"/>
              <w:left w:val="nil"/>
              <w:bottom w:val="single" w:sz="4" w:space="0" w:color="auto"/>
              <w:right w:val="nil"/>
            </w:tcBorders>
            <w:shd w:val="clear" w:color="auto" w:fill="FFFFFF"/>
          </w:tcPr>
          <w:p w14:paraId="0B164E21" w14:textId="77777777" w:rsidR="00795E60" w:rsidRDefault="00F56376">
            <w:pPr>
              <w:pStyle w:val="Tabellcell"/>
              <w:widowControl w:val="0"/>
            </w:pPr>
            <w:r>
              <w:rPr>
                <w:b/>
                <w:i/>
              </w:rPr>
              <w:t>Kommentar</w:t>
            </w:r>
          </w:p>
          <w:p w14:paraId="71C00F3E" w14:textId="77777777" w:rsidR="00795E60" w:rsidRDefault="00F56376">
            <w:pPr>
              <w:pStyle w:val="Tabellcell"/>
              <w:widowControl w:val="0"/>
            </w:pPr>
            <w:r>
              <w:t xml:space="preserve">De föreningsmedel som fördelas 2025 är, justerat för inflation (KPI), något lägre än de som fördelades 2023. Under </w:t>
            </w:r>
            <w:r>
              <w:lastRenderedPageBreak/>
              <w:t>2024 genomfördes neddragningar i föreningsmedlen för kultur och tre föreningar flyttades också från föreningsmedel (totalt knappt 800 000 kr) till verksamhetsmedel kultur vilket påverkar årets nivå.</w:t>
            </w:r>
          </w:p>
        </w:tc>
      </w:tr>
      <w:tr w:rsidR="00FC2AD8" w14:paraId="3AAA6E96" w14:textId="77777777">
        <w:trPr>
          <w:cantSplit w:val="0"/>
        </w:trPr>
        <w:tc>
          <w:tcPr>
            <w:tcW w:w="4536" w:type="dxa"/>
            <w:tcBorders>
              <w:top w:val="single" w:sz="4" w:space="0" w:color="auto"/>
              <w:left w:val="nil"/>
              <w:bottom w:val="nil"/>
              <w:right w:val="nil"/>
            </w:tcBorders>
            <w:shd w:val="clear" w:color="auto" w:fill="FFFFFF"/>
          </w:tcPr>
          <w:p w14:paraId="0B9E0B99" w14:textId="77777777" w:rsidR="00795E60" w:rsidRDefault="00F56376">
            <w:pPr>
              <w:pStyle w:val="Tabellcell"/>
            </w:pPr>
            <w:r>
              <w:rPr>
                <w:b/>
              </w:rPr>
              <w:lastRenderedPageBreak/>
              <w:t>Övrig fördelning av medel med syfte att stärka den kulturella infrastrukturen i länet (Målvärdet är 2023 års värde efter indexuppräkning)</w:t>
            </w:r>
          </w:p>
        </w:tc>
        <w:tc>
          <w:tcPr>
            <w:tcW w:w="1701" w:type="dxa"/>
            <w:tcBorders>
              <w:top w:val="single" w:sz="4" w:space="0" w:color="auto"/>
              <w:left w:val="nil"/>
              <w:bottom w:val="nil"/>
              <w:right w:val="nil"/>
            </w:tcBorders>
            <w:shd w:val="clear" w:color="auto" w:fill="FFFFFF"/>
          </w:tcPr>
          <w:p w14:paraId="492F9245" w14:textId="77777777" w:rsidR="00795E60" w:rsidRDefault="00F56376">
            <w:pPr>
              <w:pStyle w:val="Tabellcell"/>
              <w:jc w:val="center"/>
            </w:pPr>
            <w:r>
              <w:t>662 000 kr</w:t>
            </w:r>
          </w:p>
        </w:tc>
        <w:tc>
          <w:tcPr>
            <w:tcW w:w="1701" w:type="dxa"/>
            <w:tcBorders>
              <w:top w:val="single" w:sz="4" w:space="0" w:color="auto"/>
              <w:left w:val="nil"/>
              <w:bottom w:val="nil"/>
              <w:right w:val="nil"/>
            </w:tcBorders>
            <w:shd w:val="clear" w:color="auto" w:fill="FFFFFF"/>
          </w:tcPr>
          <w:p w14:paraId="410B48EB" w14:textId="77777777" w:rsidR="00795E60" w:rsidRDefault="00F56376">
            <w:pPr>
              <w:pStyle w:val="Tabellcell"/>
              <w:jc w:val="center"/>
            </w:pPr>
            <w:r>
              <w:t>2 688 855</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68F92FC4" w14:textId="77777777" w:rsidR="00795E60" w:rsidRDefault="00795E60">
            <w:pPr>
              <w:pStyle w:val="Tabellcell"/>
              <w:jc w:val="center"/>
            </w:pPr>
          </w:p>
        </w:tc>
      </w:tr>
      <w:tr w:rsidR="00FC2AD8" w14:paraId="2866BD4B" w14:textId="77777777">
        <w:trPr>
          <w:cantSplit w:val="0"/>
        </w:trPr>
        <w:tc>
          <w:tcPr>
            <w:tcW w:w="9639" w:type="dxa"/>
            <w:gridSpan w:val="4"/>
            <w:tcBorders>
              <w:top w:val="nil"/>
              <w:left w:val="nil"/>
              <w:bottom w:val="single" w:sz="4" w:space="0" w:color="auto"/>
              <w:right w:val="nil"/>
            </w:tcBorders>
            <w:shd w:val="clear" w:color="auto" w:fill="FFFFFF"/>
          </w:tcPr>
          <w:p w14:paraId="3761380D" w14:textId="77777777" w:rsidR="00795E60" w:rsidRDefault="00F56376">
            <w:pPr>
              <w:pStyle w:val="Tabellcell"/>
              <w:widowControl w:val="0"/>
            </w:pPr>
            <w:r>
              <w:rPr>
                <w:b/>
                <w:i/>
              </w:rPr>
              <w:t>Kommentar</w:t>
            </w:r>
          </w:p>
          <w:p w14:paraId="27B0101C" w14:textId="77777777" w:rsidR="00795E60" w:rsidRDefault="00F56376">
            <w:pPr>
              <w:pStyle w:val="Tabellcell"/>
              <w:widowControl w:val="0"/>
            </w:pPr>
            <w:r>
              <w:t xml:space="preserve">Övrig </w:t>
            </w:r>
            <w:r>
              <w:t>fördelning av medel med syfte att stärka den kulturella infrastrukturen i länet 2025 är betydligt lägre än de som fördelades 2023 efter att hänsyn har tagits till inflationen (KPI). Den huvudsakliga anledningen är att merparten av de medel som Område kultur och ideell sektor fördelade till projekt, utveckling och satsningar i samverkan med exempelvis länets kommuner togs bort vid besparingarna 2024.</w:t>
            </w:r>
          </w:p>
        </w:tc>
      </w:tr>
      <w:tr w:rsidR="00FC2AD8" w14:paraId="276AB025" w14:textId="77777777">
        <w:trPr>
          <w:cantSplit w:val="0"/>
        </w:trPr>
        <w:tc>
          <w:tcPr>
            <w:tcW w:w="4536" w:type="dxa"/>
            <w:tcBorders>
              <w:top w:val="single" w:sz="4" w:space="0" w:color="auto"/>
              <w:left w:val="nil"/>
              <w:bottom w:val="nil"/>
              <w:right w:val="nil"/>
            </w:tcBorders>
            <w:shd w:val="clear" w:color="auto" w:fill="FFFFFF"/>
          </w:tcPr>
          <w:p w14:paraId="0878A5CA" w14:textId="77777777" w:rsidR="00795E60" w:rsidRDefault="00F56376">
            <w:pPr>
              <w:pStyle w:val="Tabellcell"/>
            </w:pPr>
            <w:r>
              <w:rPr>
                <w:b/>
              </w:rPr>
              <w:t>De regionalt finansierade kulturaktörernas ideella arbete</w:t>
            </w:r>
          </w:p>
        </w:tc>
        <w:tc>
          <w:tcPr>
            <w:tcW w:w="1701" w:type="dxa"/>
            <w:tcBorders>
              <w:top w:val="single" w:sz="4" w:space="0" w:color="auto"/>
              <w:left w:val="nil"/>
              <w:bottom w:val="nil"/>
              <w:right w:val="nil"/>
            </w:tcBorders>
            <w:shd w:val="clear" w:color="auto" w:fill="FFFFFF"/>
          </w:tcPr>
          <w:p w14:paraId="177CEB0F" w14:textId="77777777" w:rsidR="00795E60" w:rsidRDefault="00F56376">
            <w:pPr>
              <w:pStyle w:val="Tabellcell"/>
              <w:jc w:val="center"/>
            </w:pPr>
            <w:r>
              <w:t>19 274 st</w:t>
            </w:r>
          </w:p>
        </w:tc>
        <w:tc>
          <w:tcPr>
            <w:tcW w:w="1701" w:type="dxa"/>
            <w:tcBorders>
              <w:top w:val="single" w:sz="4" w:space="0" w:color="auto"/>
              <w:left w:val="nil"/>
              <w:bottom w:val="nil"/>
              <w:right w:val="nil"/>
            </w:tcBorders>
            <w:shd w:val="clear" w:color="auto" w:fill="FFFFFF"/>
          </w:tcPr>
          <w:p w14:paraId="2E526C87" w14:textId="77777777" w:rsidR="00795E60" w:rsidRDefault="00F56376">
            <w:pPr>
              <w:pStyle w:val="Tabellcell"/>
              <w:jc w:val="center"/>
            </w:pPr>
            <w:r>
              <w:t>3 793 st</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2B1A34DC" w14:textId="77777777" w:rsidR="00795E60" w:rsidRDefault="00795E60">
            <w:pPr>
              <w:pStyle w:val="Tabellcell"/>
              <w:jc w:val="center"/>
            </w:pPr>
          </w:p>
        </w:tc>
      </w:tr>
      <w:tr w:rsidR="00FC2AD8" w14:paraId="75A0A133" w14:textId="77777777">
        <w:trPr>
          <w:cantSplit w:val="0"/>
        </w:trPr>
        <w:tc>
          <w:tcPr>
            <w:tcW w:w="9639" w:type="dxa"/>
            <w:gridSpan w:val="4"/>
            <w:tcBorders>
              <w:top w:val="nil"/>
              <w:left w:val="nil"/>
              <w:bottom w:val="single" w:sz="4" w:space="0" w:color="auto"/>
              <w:right w:val="nil"/>
            </w:tcBorders>
            <w:shd w:val="clear" w:color="auto" w:fill="FFFFFF"/>
          </w:tcPr>
          <w:p w14:paraId="42F43536" w14:textId="77777777" w:rsidR="00795E60" w:rsidRDefault="00F56376">
            <w:pPr>
              <w:pStyle w:val="Tabellcell"/>
              <w:widowControl w:val="0"/>
            </w:pPr>
            <w:r>
              <w:rPr>
                <w:b/>
                <w:i/>
              </w:rPr>
              <w:t>Kommentar</w:t>
            </w:r>
          </w:p>
          <w:p w14:paraId="2DAA342E" w14:textId="77777777" w:rsidR="00795E60" w:rsidRDefault="00F56376">
            <w:pPr>
              <w:pStyle w:val="Tabellcell"/>
              <w:widowControl w:val="0"/>
            </w:pPr>
            <w:r>
              <w:t xml:space="preserve">Det senast </w:t>
            </w:r>
            <w:r>
              <w:t>kända värdet är för 2024. Det ideella arbetet ser ut att ha ökat för de regionalt finansierade kulturaktörerna. Den stora ökningen beror dock på att en enskild aktör har rapporterat in ovanligt höga siffror 2024.</w:t>
            </w:r>
          </w:p>
        </w:tc>
      </w:tr>
    </w:tbl>
    <w:p w14:paraId="2E550F39" w14:textId="77777777" w:rsidR="00795E60" w:rsidRDefault="00F56376">
      <w:pPr>
        <w:pStyle w:val="Rubrik4"/>
      </w:pPr>
      <w:r>
        <w:t>Mål: Region Örebro län har bidragit till ett mer jämlikt kulturliv och en mer likvärdig tillgång till kultur i hela länet i linje med arbetet för social sammanhållning och det demokratiska samhällets utveckling. Särskilt prioriterat 2025 är barn och unga samt personer med sämre socioekonomiska livsvillkor.</w:t>
      </w:r>
    </w:p>
    <w:p w14:paraId="1035D48D" w14:textId="77777777" w:rsidR="00795E60" w:rsidRDefault="00F56376">
      <w:pPr>
        <w:pStyle w:val="Texttitel"/>
      </w:pPr>
      <w:r>
        <w:t>Kommentar</w:t>
      </w:r>
    </w:p>
    <w:p w14:paraId="7C27ECB3" w14:textId="77777777" w:rsidR="00795E60" w:rsidRDefault="00F56376">
      <w:pPr>
        <w:pStyle w:val="BodyText"/>
        <w:widowControl w:val="0"/>
      </w:pPr>
      <w:r>
        <w:t>Statistik från 2024 visar att 23 procent av besökarna/publiken var barn. Andelen unga (0–19 år) i Örebro län utgjorde samma år 22,7 procent av befolkningen, vilket innebär att barnandelen hos de regionalt finansierade kulturaktörerna ligger i paritet med länets befolkningssammansättning. Det är dock under Region Örebro läns målvärde på 30 procent. Störst andel barn i publiken hade Teater Martin Mutter (83 procent), Dansfrämjandet (68 procent) och Professionell dans (54 procent). Nio av de regionalt finansie</w:t>
      </w:r>
      <w:r>
        <w:t>rade kulturaktörerna hade mindre än 10 procent barn i publiken eller bland besökare/deltagare. Lägst andel barn hade ArkivCentrum Örebro län, Konst på hög, The non existent Center och Opera på Skäret.</w:t>
      </w:r>
    </w:p>
    <w:p w14:paraId="22B09A2C" w14:textId="77777777" w:rsidR="00795E60" w:rsidRDefault="00F56376">
      <w:pPr>
        <w:pStyle w:val="BodyText"/>
        <w:widowControl w:val="0"/>
      </w:pPr>
      <w:r>
        <w:t>I de årliga dialogerna 2025 uppgav 26 av 27 aktörer att de hade genomför insatser för att kompensera för att den regionalt finansierade kulturen främst når personer med goda socioekonomiska livsvillkor. Åtgärderna handlade främst om att nå länets alla barn, oavsett bakgrund eller kulturvana, genom professionell kultur i skolan eller gratis inträde och reducerade biljettkostnader</w:t>
      </w:r>
    </w:p>
    <w:p w14:paraId="6C17494C" w14:textId="77777777" w:rsidR="00795E60" w:rsidRDefault="00F56376">
      <w:pPr>
        <w:pStyle w:val="BodyText"/>
        <w:widowControl w:val="0"/>
      </w:pPr>
      <w:r>
        <w:t>Det finns ingen insamlad statistik som visar den regionala publikens socioekonomiska bakgrund, vilket gör att förändringar i publiksammansättning hos enskilda aktörer inte kan mätas. Nationella kulturvaneundersökningar visar att kulturdeltagandet är relativt konstant över tid och att det finns tydliga kopplingar mellan kulturdeltagande och goda socioekonomiska livsvillkor. Att förändra kulturvanemönster kräver mer än insatser från enskilda aktörer eller regioner, även om dessa kan bidra.</w:t>
      </w:r>
    </w:p>
    <w:p w14:paraId="5463D51B" w14:textId="77777777" w:rsidR="00795E60" w:rsidRDefault="00F56376">
      <w:pPr>
        <w:pStyle w:val="BodyText"/>
        <w:widowControl w:val="0"/>
      </w:pPr>
      <w:r>
        <w:t>Långsiktiga målvärden för styrtalen är samma som de kortsiktiga det vill säga att bibehålla en stabil utveckling.</w:t>
      </w:r>
    </w:p>
    <w:p w14:paraId="14F34740" w14:textId="77777777" w:rsidR="00795E60" w:rsidRDefault="00F56376">
      <w:pPr>
        <w:pStyle w:val="BodyText"/>
        <w:widowControl w:val="0"/>
        <w:numPr>
          <w:ilvl w:val="0"/>
          <w:numId w:val="19"/>
        </w:numPr>
      </w:pPr>
      <w:r>
        <w:t>Bedömningen utifrån nämndens/verksamhetens redovisning, styrtal och uppdrag är att målet delvis har uppnåtts.</w:t>
      </w:r>
    </w:p>
    <w:tbl>
      <w:tblPr>
        <w:tblStyle w:val="Tabellrutnt"/>
        <w:tblOverlap w:val="never"/>
        <w:tblW w:w="0" w:type="auto"/>
        <w:tblLayout w:type="fixed"/>
        <w:tblLook w:val="04A0" w:firstRow="1" w:lastRow="0" w:firstColumn="1" w:lastColumn="0" w:noHBand="0" w:noVBand="1"/>
      </w:tblPr>
      <w:tblGrid>
        <w:gridCol w:w="4536"/>
        <w:gridCol w:w="1701"/>
        <w:gridCol w:w="1701"/>
        <w:gridCol w:w="1701"/>
      </w:tblGrid>
      <w:tr w:rsidR="00FC2AD8" w14:paraId="587C5C02" w14:textId="77777777">
        <w:trPr>
          <w:cantSplit w:val="0"/>
          <w:tblHeader/>
        </w:trPr>
        <w:tc>
          <w:tcPr>
            <w:tcW w:w="4536" w:type="dxa"/>
            <w:tcBorders>
              <w:top w:val="single" w:sz="4" w:space="0" w:color="auto"/>
              <w:left w:val="nil"/>
              <w:bottom w:val="single" w:sz="4" w:space="0" w:color="auto"/>
              <w:right w:val="nil"/>
            </w:tcBorders>
            <w:shd w:val="clear" w:color="auto" w:fill="E1E9F2"/>
            <w:vAlign w:val="center"/>
          </w:tcPr>
          <w:p w14:paraId="54011EF1" w14:textId="77777777" w:rsidR="00795E60" w:rsidRDefault="00F56376">
            <w:pPr>
              <w:pStyle w:val="Tabellcell"/>
            </w:pPr>
            <w:r>
              <w:rPr>
                <w:b/>
              </w:rPr>
              <w:lastRenderedPageBreak/>
              <w:t>Styrtal</w:t>
            </w:r>
          </w:p>
        </w:tc>
        <w:tc>
          <w:tcPr>
            <w:tcW w:w="1701" w:type="dxa"/>
            <w:tcBorders>
              <w:top w:val="single" w:sz="4" w:space="0" w:color="auto"/>
              <w:left w:val="nil"/>
              <w:bottom w:val="single" w:sz="4" w:space="0" w:color="auto"/>
              <w:right w:val="nil"/>
            </w:tcBorders>
            <w:shd w:val="clear" w:color="auto" w:fill="E1E9F2"/>
            <w:vAlign w:val="center"/>
          </w:tcPr>
          <w:p w14:paraId="4A0CE256" w14:textId="77777777" w:rsidR="00795E60" w:rsidRDefault="00F56376">
            <w:pPr>
              <w:pStyle w:val="Tabellcell"/>
              <w:jc w:val="center"/>
            </w:pPr>
            <w:r>
              <w:rPr>
                <w:b/>
              </w:rPr>
              <w:t>Utfall</w:t>
            </w:r>
          </w:p>
        </w:tc>
        <w:tc>
          <w:tcPr>
            <w:tcW w:w="1701" w:type="dxa"/>
            <w:tcBorders>
              <w:top w:val="single" w:sz="4" w:space="0" w:color="auto"/>
              <w:left w:val="nil"/>
              <w:bottom w:val="single" w:sz="4" w:space="0" w:color="auto"/>
              <w:right w:val="nil"/>
            </w:tcBorders>
            <w:shd w:val="clear" w:color="auto" w:fill="E1E9F2"/>
            <w:vAlign w:val="center"/>
          </w:tcPr>
          <w:p w14:paraId="6B53CE76" w14:textId="77777777" w:rsidR="00795E60" w:rsidRDefault="00F56376">
            <w:pPr>
              <w:pStyle w:val="Tabellcell"/>
              <w:jc w:val="center"/>
            </w:pPr>
            <w:r>
              <w:rPr>
                <w:b/>
              </w:rPr>
              <w:t>Årets målvärde</w:t>
            </w:r>
          </w:p>
        </w:tc>
        <w:tc>
          <w:tcPr>
            <w:tcW w:w="1701" w:type="dxa"/>
            <w:tcBorders>
              <w:top w:val="single" w:sz="4" w:space="0" w:color="auto"/>
              <w:left w:val="nil"/>
              <w:bottom w:val="single" w:sz="4" w:space="0" w:color="auto"/>
              <w:right w:val="nil"/>
            </w:tcBorders>
            <w:shd w:val="clear" w:color="auto" w:fill="E1E9F2"/>
            <w:vAlign w:val="center"/>
          </w:tcPr>
          <w:p w14:paraId="0924812D" w14:textId="77777777" w:rsidR="00795E60" w:rsidRDefault="00F56376">
            <w:pPr>
              <w:pStyle w:val="Tabellcell"/>
              <w:jc w:val="center"/>
            </w:pPr>
            <w:r>
              <w:rPr>
                <w:b/>
              </w:rPr>
              <w:t>Långsiktigt målvärde</w:t>
            </w:r>
          </w:p>
        </w:tc>
      </w:tr>
      <w:tr w:rsidR="00FC2AD8" w14:paraId="7F0BE1E0" w14:textId="77777777">
        <w:trPr>
          <w:cantSplit w:val="0"/>
        </w:trPr>
        <w:tc>
          <w:tcPr>
            <w:tcW w:w="4536" w:type="dxa"/>
            <w:tcBorders>
              <w:top w:val="single" w:sz="4" w:space="0" w:color="auto"/>
              <w:left w:val="nil"/>
              <w:bottom w:val="nil"/>
              <w:right w:val="nil"/>
            </w:tcBorders>
            <w:shd w:val="clear" w:color="auto" w:fill="FFFFFF"/>
          </w:tcPr>
          <w:p w14:paraId="35E2AF90" w14:textId="77777777" w:rsidR="00795E60" w:rsidRDefault="00F56376">
            <w:pPr>
              <w:pStyle w:val="Tabellcell"/>
            </w:pPr>
            <w:r>
              <w:rPr>
                <w:b/>
              </w:rPr>
              <w:t>Andel barn bland publik, besökare eller deltagare hos de regionalt finansierade kulturaktörerna (med uppdrag i kulturplanen)</w:t>
            </w:r>
          </w:p>
        </w:tc>
        <w:tc>
          <w:tcPr>
            <w:tcW w:w="1701" w:type="dxa"/>
            <w:tcBorders>
              <w:top w:val="single" w:sz="4" w:space="0" w:color="auto"/>
              <w:left w:val="nil"/>
              <w:bottom w:val="nil"/>
              <w:right w:val="nil"/>
            </w:tcBorders>
            <w:shd w:val="clear" w:color="auto" w:fill="FFFFFF"/>
          </w:tcPr>
          <w:p w14:paraId="5476044C" w14:textId="77777777" w:rsidR="00795E60" w:rsidRDefault="00F56376">
            <w:pPr>
              <w:pStyle w:val="Tabellcell"/>
              <w:jc w:val="center"/>
            </w:pPr>
            <w:r>
              <w:t>23 %</w:t>
            </w:r>
          </w:p>
        </w:tc>
        <w:tc>
          <w:tcPr>
            <w:tcW w:w="1701" w:type="dxa"/>
            <w:tcBorders>
              <w:top w:val="single" w:sz="4" w:space="0" w:color="auto"/>
              <w:left w:val="nil"/>
              <w:bottom w:val="nil"/>
              <w:right w:val="nil"/>
            </w:tcBorders>
            <w:shd w:val="clear" w:color="auto" w:fill="FFFFFF"/>
          </w:tcPr>
          <w:p w14:paraId="4E8FC168" w14:textId="77777777" w:rsidR="00795E60" w:rsidRDefault="00F56376">
            <w:pPr>
              <w:pStyle w:val="Tabellcell"/>
              <w:jc w:val="center"/>
            </w:pPr>
            <w:r>
              <w:t>30 %</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7BFB9EE6" w14:textId="77777777" w:rsidR="00795E60" w:rsidRDefault="00795E60">
            <w:pPr>
              <w:pStyle w:val="Tabellcell"/>
              <w:jc w:val="center"/>
            </w:pPr>
          </w:p>
        </w:tc>
      </w:tr>
      <w:tr w:rsidR="00FC2AD8" w14:paraId="07830F32" w14:textId="77777777">
        <w:trPr>
          <w:cantSplit w:val="0"/>
        </w:trPr>
        <w:tc>
          <w:tcPr>
            <w:tcW w:w="9639" w:type="dxa"/>
            <w:gridSpan w:val="4"/>
            <w:tcBorders>
              <w:top w:val="nil"/>
              <w:left w:val="nil"/>
              <w:bottom w:val="single" w:sz="4" w:space="0" w:color="auto"/>
              <w:right w:val="nil"/>
            </w:tcBorders>
            <w:shd w:val="clear" w:color="auto" w:fill="FFFFFF"/>
          </w:tcPr>
          <w:p w14:paraId="05E54630" w14:textId="77777777" w:rsidR="00795E60" w:rsidRDefault="00F56376">
            <w:pPr>
              <w:pStyle w:val="Tabellcell"/>
              <w:widowControl w:val="0"/>
            </w:pPr>
            <w:r>
              <w:rPr>
                <w:b/>
                <w:i/>
              </w:rPr>
              <w:t>Kommentar</w:t>
            </w:r>
          </w:p>
          <w:p w14:paraId="47C263FF" w14:textId="77777777" w:rsidR="00795E60" w:rsidRDefault="00F56376">
            <w:pPr>
              <w:pStyle w:val="Tabellcell"/>
              <w:widowControl w:val="0"/>
            </w:pPr>
            <w:r>
              <w:t xml:space="preserve">Det senast </w:t>
            </w:r>
            <w:r>
              <w:t>kända värdet är för 2024. Det visar att andelen barn i publiken, bland besökare och deltagare inte nådde upp till målvärdet som är 30 procent.</w:t>
            </w:r>
          </w:p>
        </w:tc>
      </w:tr>
      <w:tr w:rsidR="00FC2AD8" w14:paraId="3B386450" w14:textId="77777777">
        <w:trPr>
          <w:cantSplit w:val="0"/>
        </w:trPr>
        <w:tc>
          <w:tcPr>
            <w:tcW w:w="4536" w:type="dxa"/>
            <w:tcBorders>
              <w:top w:val="single" w:sz="4" w:space="0" w:color="auto"/>
              <w:left w:val="nil"/>
              <w:bottom w:val="nil"/>
              <w:right w:val="nil"/>
            </w:tcBorders>
            <w:shd w:val="clear" w:color="auto" w:fill="FFFFFF"/>
          </w:tcPr>
          <w:p w14:paraId="49EAB7AC" w14:textId="77777777" w:rsidR="00795E60" w:rsidRDefault="00F56376">
            <w:pPr>
              <w:pStyle w:val="Tabellcell"/>
            </w:pPr>
            <w:r>
              <w:rPr>
                <w:b/>
              </w:rPr>
              <w:t>Andel av tiden som främjandeverksamheten ägnar åt kultur för barn och unga</w:t>
            </w:r>
          </w:p>
        </w:tc>
        <w:tc>
          <w:tcPr>
            <w:tcW w:w="1701" w:type="dxa"/>
            <w:tcBorders>
              <w:top w:val="single" w:sz="4" w:space="0" w:color="auto"/>
              <w:left w:val="nil"/>
              <w:bottom w:val="nil"/>
              <w:right w:val="nil"/>
            </w:tcBorders>
            <w:shd w:val="clear" w:color="auto" w:fill="FFFFFF"/>
          </w:tcPr>
          <w:p w14:paraId="4C951867" w14:textId="77777777" w:rsidR="00795E60" w:rsidRDefault="00F56376">
            <w:pPr>
              <w:pStyle w:val="Tabellcell"/>
              <w:jc w:val="center"/>
            </w:pPr>
            <w:r>
              <w:t>34 %</w:t>
            </w:r>
          </w:p>
        </w:tc>
        <w:tc>
          <w:tcPr>
            <w:tcW w:w="1701" w:type="dxa"/>
            <w:tcBorders>
              <w:top w:val="single" w:sz="4" w:space="0" w:color="auto"/>
              <w:left w:val="nil"/>
              <w:bottom w:val="nil"/>
              <w:right w:val="nil"/>
            </w:tcBorders>
            <w:shd w:val="clear" w:color="auto" w:fill="FFFFFF"/>
          </w:tcPr>
          <w:p w14:paraId="0ED5F5DF" w14:textId="77777777" w:rsidR="00795E60" w:rsidRDefault="00F56376">
            <w:pPr>
              <w:pStyle w:val="Tabellcell"/>
              <w:jc w:val="center"/>
            </w:pPr>
            <w:r>
              <w:t>30 %</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4146264E" w14:textId="77777777" w:rsidR="00795E60" w:rsidRDefault="00795E60">
            <w:pPr>
              <w:pStyle w:val="Tabellcell"/>
              <w:jc w:val="center"/>
            </w:pPr>
          </w:p>
        </w:tc>
      </w:tr>
      <w:tr w:rsidR="00FC2AD8" w14:paraId="628BDD66" w14:textId="77777777">
        <w:trPr>
          <w:cantSplit w:val="0"/>
        </w:trPr>
        <w:tc>
          <w:tcPr>
            <w:tcW w:w="9639" w:type="dxa"/>
            <w:gridSpan w:val="4"/>
            <w:tcBorders>
              <w:top w:val="nil"/>
              <w:left w:val="nil"/>
              <w:bottom w:val="single" w:sz="4" w:space="0" w:color="auto"/>
              <w:right w:val="nil"/>
            </w:tcBorders>
            <w:shd w:val="clear" w:color="auto" w:fill="FFFFFF"/>
          </w:tcPr>
          <w:p w14:paraId="7D6D3311" w14:textId="77777777" w:rsidR="00795E60" w:rsidRDefault="00F56376">
            <w:pPr>
              <w:pStyle w:val="Tabellcell"/>
              <w:widowControl w:val="0"/>
            </w:pPr>
            <w:r>
              <w:rPr>
                <w:b/>
                <w:i/>
              </w:rPr>
              <w:t>Kommentar</w:t>
            </w:r>
          </w:p>
          <w:p w14:paraId="614D037E" w14:textId="77777777" w:rsidR="00795E60" w:rsidRDefault="00F56376">
            <w:pPr>
              <w:pStyle w:val="Tabellcell"/>
              <w:widowControl w:val="0"/>
            </w:pPr>
            <w:r>
              <w:t xml:space="preserve">Det </w:t>
            </w:r>
            <w:r>
              <w:t>senast kända värdet är för 2024. Det visar att främjandeverksamheten överträffar målvärdet för hur mycket av sin tid som ägnas åt verksamhet för barn. Det varierar dock stort i hur mycket tid olika främjandeverksamheter arbetar för barn och unga.</w:t>
            </w:r>
          </w:p>
        </w:tc>
      </w:tr>
      <w:tr w:rsidR="00FC2AD8" w14:paraId="04B4DEE2" w14:textId="77777777">
        <w:trPr>
          <w:cantSplit w:val="0"/>
        </w:trPr>
        <w:tc>
          <w:tcPr>
            <w:tcW w:w="4536" w:type="dxa"/>
            <w:tcBorders>
              <w:top w:val="single" w:sz="4" w:space="0" w:color="auto"/>
              <w:left w:val="nil"/>
              <w:bottom w:val="nil"/>
              <w:right w:val="nil"/>
            </w:tcBorders>
            <w:shd w:val="clear" w:color="auto" w:fill="FFFFFF"/>
          </w:tcPr>
          <w:p w14:paraId="2AB99016" w14:textId="77777777" w:rsidR="00795E60" w:rsidRDefault="00F56376">
            <w:pPr>
              <w:pStyle w:val="Tabellcell"/>
            </w:pPr>
            <w:r>
              <w:rPr>
                <w:b/>
              </w:rPr>
              <w:t>Andel regionalt finansierade kulturaktörer som genomför verksamhet för barn (kvalitativt mått)</w:t>
            </w:r>
          </w:p>
        </w:tc>
        <w:tc>
          <w:tcPr>
            <w:tcW w:w="1701" w:type="dxa"/>
            <w:tcBorders>
              <w:top w:val="single" w:sz="4" w:space="0" w:color="auto"/>
              <w:left w:val="nil"/>
              <w:bottom w:val="nil"/>
              <w:right w:val="nil"/>
            </w:tcBorders>
            <w:shd w:val="clear" w:color="auto" w:fill="FFFFFF"/>
          </w:tcPr>
          <w:p w14:paraId="2BD96367" w14:textId="77777777" w:rsidR="00795E60" w:rsidRDefault="00F56376">
            <w:pPr>
              <w:pStyle w:val="Tabellcell"/>
              <w:jc w:val="center"/>
            </w:pPr>
            <w:r>
              <w:t>93 %</w:t>
            </w:r>
          </w:p>
        </w:tc>
        <w:tc>
          <w:tcPr>
            <w:tcW w:w="1701" w:type="dxa"/>
            <w:tcBorders>
              <w:top w:val="single" w:sz="4" w:space="0" w:color="auto"/>
              <w:left w:val="nil"/>
              <w:bottom w:val="nil"/>
              <w:right w:val="nil"/>
            </w:tcBorders>
            <w:shd w:val="clear" w:color="auto" w:fill="FFFFFF"/>
          </w:tcPr>
          <w:p w14:paraId="4DC71DDD" w14:textId="77777777" w:rsidR="00795E60" w:rsidRDefault="00F56376">
            <w:pPr>
              <w:pStyle w:val="Tabellcell"/>
              <w:jc w:val="center"/>
            </w:pPr>
            <w:r>
              <w:t>100 %</w:t>
            </w:r>
          </w:p>
        </w:tc>
        <w:tc>
          <w:tcPr>
            <w:tcW w:w="1701" w:type="dxa"/>
            <w:tcBorders>
              <w:top w:val="single" w:sz="4" w:space="0" w:color="auto"/>
              <w:left w:val="nil"/>
              <w:bottom w:val="nil"/>
              <w:right w:val="nil"/>
            </w:tcBorders>
            <w:shd w:val="clear" w:color="auto" w:fill="FFFFFF"/>
          </w:tcPr>
          <w:p w14:paraId="6AD19102" w14:textId="77777777" w:rsidR="00795E60" w:rsidRDefault="00F56376">
            <w:pPr>
              <w:pStyle w:val="Tabellcell"/>
              <w:jc w:val="center"/>
            </w:pPr>
            <w:r>
              <w:t>100 %</w:t>
            </w:r>
          </w:p>
        </w:tc>
      </w:tr>
      <w:tr w:rsidR="00FC2AD8" w14:paraId="2E11C7D5" w14:textId="77777777">
        <w:trPr>
          <w:cantSplit w:val="0"/>
        </w:trPr>
        <w:tc>
          <w:tcPr>
            <w:tcW w:w="9639" w:type="dxa"/>
            <w:gridSpan w:val="4"/>
            <w:tcBorders>
              <w:top w:val="nil"/>
              <w:left w:val="nil"/>
              <w:bottom w:val="single" w:sz="4" w:space="0" w:color="auto"/>
              <w:right w:val="nil"/>
            </w:tcBorders>
            <w:shd w:val="clear" w:color="auto" w:fill="FFFFFF"/>
          </w:tcPr>
          <w:p w14:paraId="29D73FF9" w14:textId="77777777" w:rsidR="00795E60" w:rsidRDefault="00F56376">
            <w:pPr>
              <w:pStyle w:val="Tabellcell"/>
              <w:widowControl w:val="0"/>
            </w:pPr>
            <w:r>
              <w:rPr>
                <w:b/>
                <w:i/>
              </w:rPr>
              <w:t>Kommentar</w:t>
            </w:r>
          </w:p>
          <w:p w14:paraId="41BDEBF4" w14:textId="77777777" w:rsidR="00795E60" w:rsidRDefault="00F56376">
            <w:pPr>
              <w:pStyle w:val="Tabellcell"/>
              <w:widowControl w:val="0"/>
            </w:pPr>
            <w:r>
              <w:t>Under 2025 genomförde 25 av 27 aktörer verksamhet med fokus på barn. Insatserna syftade till att ge barn möjlighet att ta del av professionell teater, musik, dans, film, litteratur samt utställningar inom kulturarv, bild och form eller slöjd. Verksamheten inkluderade även insatser för att barn själva skulle kunna skapa inom olika konst- och kulturformer både i skolan och på fritiden. Dessutom stärktes och stimulerades folkbibliotekens arbete med barn och unga.</w:t>
            </w:r>
          </w:p>
        </w:tc>
      </w:tr>
      <w:tr w:rsidR="00FC2AD8" w14:paraId="75E079D2" w14:textId="77777777">
        <w:trPr>
          <w:cantSplit w:val="0"/>
        </w:trPr>
        <w:tc>
          <w:tcPr>
            <w:tcW w:w="4536" w:type="dxa"/>
            <w:tcBorders>
              <w:top w:val="single" w:sz="4" w:space="0" w:color="auto"/>
              <w:left w:val="nil"/>
              <w:bottom w:val="nil"/>
              <w:right w:val="nil"/>
            </w:tcBorders>
            <w:shd w:val="clear" w:color="auto" w:fill="FFFFFF"/>
          </w:tcPr>
          <w:p w14:paraId="7B2C0833" w14:textId="77777777" w:rsidR="00795E60" w:rsidRDefault="00F56376">
            <w:pPr>
              <w:pStyle w:val="Tabellcell"/>
            </w:pPr>
            <w:r>
              <w:rPr>
                <w:b/>
              </w:rPr>
              <w:t>Andel regionalt finansierade kulturaktörer som genomför verksamhet för personer med sämre socioekonomiska förutsättningar (kvalitativt mått)</w:t>
            </w:r>
          </w:p>
        </w:tc>
        <w:tc>
          <w:tcPr>
            <w:tcW w:w="1701" w:type="dxa"/>
            <w:tcBorders>
              <w:top w:val="single" w:sz="4" w:space="0" w:color="auto"/>
              <w:left w:val="nil"/>
              <w:bottom w:val="nil"/>
              <w:right w:val="nil"/>
            </w:tcBorders>
            <w:shd w:val="clear" w:color="auto" w:fill="FFFFFF"/>
          </w:tcPr>
          <w:p w14:paraId="634373DA" w14:textId="77777777" w:rsidR="00795E60" w:rsidRDefault="00F56376">
            <w:pPr>
              <w:pStyle w:val="Tabellcell"/>
              <w:jc w:val="center"/>
            </w:pPr>
            <w:r>
              <w:t>96 %</w:t>
            </w:r>
          </w:p>
        </w:tc>
        <w:tc>
          <w:tcPr>
            <w:tcW w:w="1701" w:type="dxa"/>
            <w:tcBorders>
              <w:top w:val="single" w:sz="4" w:space="0" w:color="auto"/>
              <w:left w:val="nil"/>
              <w:bottom w:val="nil"/>
              <w:right w:val="nil"/>
            </w:tcBorders>
            <w:shd w:val="clear" w:color="auto" w:fill="FFFFFF"/>
          </w:tcPr>
          <w:p w14:paraId="2DC05E9E" w14:textId="77777777" w:rsidR="00795E60" w:rsidRDefault="00F56376">
            <w:pPr>
              <w:pStyle w:val="Tabellcell"/>
              <w:jc w:val="center"/>
            </w:pPr>
            <w:r>
              <w:t>100 %</w:t>
            </w:r>
          </w:p>
        </w:tc>
        <w:tc>
          <w:tcPr>
            <w:tcW w:w="1701" w:type="dxa"/>
            <w:tcBorders>
              <w:top w:val="single" w:sz="4" w:space="0" w:color="auto"/>
              <w:left w:val="nil"/>
              <w:bottom w:val="nil"/>
              <w:right w:val="nil"/>
            </w:tcBorders>
            <w:shd w:val="clear" w:color="auto" w:fill="FFFFFF"/>
          </w:tcPr>
          <w:p w14:paraId="47FAA6DE" w14:textId="77777777" w:rsidR="00795E60" w:rsidRDefault="00F56376">
            <w:pPr>
              <w:pStyle w:val="Tabellcell"/>
              <w:jc w:val="center"/>
            </w:pPr>
            <w:r>
              <w:t>100 %</w:t>
            </w:r>
          </w:p>
        </w:tc>
      </w:tr>
      <w:tr w:rsidR="00FC2AD8" w14:paraId="0A67C623" w14:textId="77777777">
        <w:trPr>
          <w:cantSplit w:val="0"/>
        </w:trPr>
        <w:tc>
          <w:tcPr>
            <w:tcW w:w="9639" w:type="dxa"/>
            <w:gridSpan w:val="4"/>
            <w:tcBorders>
              <w:top w:val="nil"/>
              <w:left w:val="nil"/>
              <w:bottom w:val="single" w:sz="4" w:space="0" w:color="auto"/>
              <w:right w:val="nil"/>
            </w:tcBorders>
            <w:shd w:val="clear" w:color="auto" w:fill="FFFFFF"/>
          </w:tcPr>
          <w:p w14:paraId="3FAE7210" w14:textId="77777777" w:rsidR="00795E60" w:rsidRDefault="00F56376">
            <w:pPr>
              <w:pStyle w:val="Tabellcell"/>
              <w:widowControl w:val="0"/>
            </w:pPr>
            <w:r>
              <w:rPr>
                <w:b/>
                <w:i/>
              </w:rPr>
              <w:t>Kommentar</w:t>
            </w:r>
          </w:p>
          <w:p w14:paraId="225AA48F" w14:textId="77777777" w:rsidR="00795E60" w:rsidRDefault="00F56376">
            <w:pPr>
              <w:pStyle w:val="Tabellcell"/>
              <w:widowControl w:val="0"/>
            </w:pPr>
            <w:r>
              <w:t xml:space="preserve">Under 2025 </w:t>
            </w:r>
            <w:r>
              <w:t>genomförde 26 av 27 aktörer verksamhet för att möjliggöra att personer med sämre socioekonomiska förutsättningar kunde ta del av kultur. Främst handlade det om att arbeta med professionell kultur i skolan för att nå alla barn, oavsett bakgrund, samt att erbjuda kulturupplevelser utan kostnad. I mindre utsträckning handlade det om satsningar för att direkt nå personer eller områden med sämre socioekonomiska förutsättningar, även om sådana insatser också förekom.</w:t>
            </w:r>
          </w:p>
        </w:tc>
      </w:tr>
      <w:tr w:rsidR="00FC2AD8" w14:paraId="36C53F0D" w14:textId="77777777">
        <w:trPr>
          <w:cantSplit w:val="0"/>
        </w:trPr>
        <w:tc>
          <w:tcPr>
            <w:tcW w:w="4536" w:type="dxa"/>
            <w:tcBorders>
              <w:top w:val="single" w:sz="4" w:space="0" w:color="auto"/>
              <w:left w:val="nil"/>
              <w:bottom w:val="nil"/>
              <w:right w:val="nil"/>
            </w:tcBorders>
            <w:shd w:val="clear" w:color="auto" w:fill="FFFFFF"/>
          </w:tcPr>
          <w:p w14:paraId="4A28EB6E" w14:textId="77777777" w:rsidR="00795E60" w:rsidRDefault="00F56376">
            <w:pPr>
              <w:pStyle w:val="Tabellcell"/>
            </w:pPr>
            <w:r>
              <w:rPr>
                <w:b/>
              </w:rPr>
              <w:t>Andel regionalt finansierade kulturaktörer som anpassat tillgängligheten för personer med funktionshinder (kvalitativt mått)</w:t>
            </w:r>
          </w:p>
        </w:tc>
        <w:tc>
          <w:tcPr>
            <w:tcW w:w="1701" w:type="dxa"/>
            <w:tcBorders>
              <w:top w:val="single" w:sz="4" w:space="0" w:color="auto"/>
              <w:left w:val="nil"/>
              <w:bottom w:val="nil"/>
              <w:right w:val="nil"/>
            </w:tcBorders>
            <w:shd w:val="clear" w:color="auto" w:fill="FFFFFF"/>
          </w:tcPr>
          <w:p w14:paraId="1EDCB613" w14:textId="77777777" w:rsidR="00795E60" w:rsidRDefault="00F56376">
            <w:pPr>
              <w:pStyle w:val="Tabellcell"/>
              <w:jc w:val="center"/>
            </w:pPr>
            <w:r>
              <w:t>100 %</w:t>
            </w:r>
          </w:p>
        </w:tc>
        <w:tc>
          <w:tcPr>
            <w:tcW w:w="1701" w:type="dxa"/>
            <w:tcBorders>
              <w:top w:val="single" w:sz="4" w:space="0" w:color="auto"/>
              <w:left w:val="nil"/>
              <w:bottom w:val="nil"/>
              <w:right w:val="nil"/>
            </w:tcBorders>
            <w:shd w:val="clear" w:color="auto" w:fill="FFFFFF"/>
          </w:tcPr>
          <w:p w14:paraId="1441CBF3" w14:textId="77777777" w:rsidR="00795E60" w:rsidRDefault="00F56376">
            <w:pPr>
              <w:pStyle w:val="Tabellcell"/>
              <w:jc w:val="center"/>
            </w:pPr>
            <w:r>
              <w:t>100 %</w:t>
            </w:r>
          </w:p>
        </w:tc>
        <w:tc>
          <w:tcPr>
            <w:tcW w:w="1701" w:type="dxa"/>
            <w:tcBorders>
              <w:top w:val="single" w:sz="4" w:space="0" w:color="auto"/>
              <w:left w:val="nil"/>
              <w:bottom w:val="nil"/>
              <w:right w:val="nil"/>
            </w:tcBorders>
            <w:shd w:val="clear" w:color="auto" w:fill="FFFFFF"/>
          </w:tcPr>
          <w:p w14:paraId="3B39E2F9" w14:textId="77777777" w:rsidR="00795E60" w:rsidRDefault="00F56376">
            <w:pPr>
              <w:pStyle w:val="Tabellcell"/>
              <w:jc w:val="center"/>
            </w:pPr>
            <w:r>
              <w:t>100 %</w:t>
            </w:r>
          </w:p>
        </w:tc>
      </w:tr>
      <w:tr w:rsidR="00FC2AD8" w14:paraId="792902E3" w14:textId="77777777">
        <w:trPr>
          <w:cantSplit w:val="0"/>
        </w:trPr>
        <w:tc>
          <w:tcPr>
            <w:tcW w:w="9639" w:type="dxa"/>
            <w:gridSpan w:val="4"/>
            <w:tcBorders>
              <w:top w:val="nil"/>
              <w:left w:val="nil"/>
              <w:bottom w:val="single" w:sz="4" w:space="0" w:color="auto"/>
              <w:right w:val="nil"/>
            </w:tcBorders>
            <w:shd w:val="clear" w:color="auto" w:fill="FFFFFF"/>
          </w:tcPr>
          <w:p w14:paraId="4810B255" w14:textId="77777777" w:rsidR="00795E60" w:rsidRDefault="00F56376">
            <w:pPr>
              <w:pStyle w:val="Tabellcell"/>
              <w:widowControl w:val="0"/>
            </w:pPr>
            <w:r>
              <w:rPr>
                <w:b/>
                <w:i/>
              </w:rPr>
              <w:t>Kommentar</w:t>
            </w:r>
          </w:p>
          <w:p w14:paraId="43965433" w14:textId="77777777" w:rsidR="00795E60" w:rsidRDefault="00F56376">
            <w:pPr>
              <w:pStyle w:val="Tabellcell"/>
              <w:widowControl w:val="0"/>
            </w:pPr>
            <w:r>
              <w:t xml:space="preserve">Samtliga aktörer, 27 av 27, är i någon mån aktiva i att förbättra tillgängligheten för personer med funktionsnedsättning. </w:t>
            </w:r>
            <w:r>
              <w:t>Kulturaktörer med egna lokaler har, i enlighet med gällande lagstiftning, åtgärdat enkelt avhjälpta hinder. Aktörer med uppdrag inom kulturplanen informerar om tillgängligheten vid publika evenemang. De aktörer som ingår i kultursamverkansmodellen ska också ha tillgängliga webbplatser enligt den standard som efterfrågas av Statens kulturråd.</w:t>
            </w:r>
          </w:p>
        </w:tc>
      </w:tr>
      <w:tr w:rsidR="00FC2AD8" w14:paraId="1E0C5294" w14:textId="77777777">
        <w:trPr>
          <w:cantSplit w:val="0"/>
        </w:trPr>
        <w:tc>
          <w:tcPr>
            <w:tcW w:w="4536" w:type="dxa"/>
            <w:tcBorders>
              <w:top w:val="single" w:sz="4" w:space="0" w:color="auto"/>
              <w:left w:val="nil"/>
              <w:bottom w:val="nil"/>
              <w:right w:val="nil"/>
            </w:tcBorders>
            <w:shd w:val="clear" w:color="auto" w:fill="FFFFFF"/>
          </w:tcPr>
          <w:p w14:paraId="3560C0EA" w14:textId="77777777" w:rsidR="00795E60" w:rsidRDefault="00F56376">
            <w:pPr>
              <w:pStyle w:val="Tabellcell"/>
            </w:pPr>
            <w:r>
              <w:rPr>
                <w:b/>
              </w:rPr>
              <w:t>Antal aktiviteter med nationella minoriteters språk och kultur i fokus</w:t>
            </w:r>
          </w:p>
        </w:tc>
        <w:tc>
          <w:tcPr>
            <w:tcW w:w="1701" w:type="dxa"/>
            <w:tcBorders>
              <w:top w:val="single" w:sz="4" w:space="0" w:color="auto"/>
              <w:left w:val="nil"/>
              <w:bottom w:val="nil"/>
              <w:right w:val="nil"/>
            </w:tcBorders>
            <w:shd w:val="clear" w:color="auto" w:fill="FFFFFF"/>
          </w:tcPr>
          <w:p w14:paraId="5BD5B3FD" w14:textId="77777777" w:rsidR="00795E60" w:rsidRDefault="00F56376">
            <w:pPr>
              <w:pStyle w:val="Tabellcell"/>
              <w:jc w:val="center"/>
            </w:pPr>
            <w:r>
              <w:t>3</w:t>
            </w:r>
          </w:p>
        </w:tc>
        <w:tc>
          <w:tcPr>
            <w:tcW w:w="1701" w:type="dxa"/>
            <w:tcBorders>
              <w:top w:val="single" w:sz="4" w:space="0" w:color="auto"/>
              <w:left w:val="nil"/>
              <w:bottom w:val="nil"/>
              <w:right w:val="nil"/>
            </w:tcBorders>
            <w:shd w:val="clear" w:color="auto" w:fill="FFFFFF"/>
          </w:tcPr>
          <w:p w14:paraId="3066C8BA" w14:textId="77777777" w:rsidR="00795E60" w:rsidRDefault="00F56376">
            <w:pPr>
              <w:pStyle w:val="Tabellcell"/>
              <w:jc w:val="center"/>
            </w:pPr>
            <w:r>
              <w:t>15</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722F5CE9" w14:textId="77777777" w:rsidR="00795E60" w:rsidRDefault="00795E60">
            <w:pPr>
              <w:pStyle w:val="Tabellcell"/>
              <w:jc w:val="center"/>
            </w:pPr>
          </w:p>
        </w:tc>
      </w:tr>
      <w:tr w:rsidR="00FC2AD8" w14:paraId="71AE6E0F" w14:textId="77777777">
        <w:trPr>
          <w:cantSplit w:val="0"/>
        </w:trPr>
        <w:tc>
          <w:tcPr>
            <w:tcW w:w="9639" w:type="dxa"/>
            <w:gridSpan w:val="4"/>
            <w:tcBorders>
              <w:top w:val="nil"/>
              <w:left w:val="nil"/>
              <w:bottom w:val="single" w:sz="4" w:space="0" w:color="auto"/>
              <w:right w:val="nil"/>
            </w:tcBorders>
            <w:shd w:val="clear" w:color="auto" w:fill="FFFFFF"/>
          </w:tcPr>
          <w:p w14:paraId="59C8BC06" w14:textId="77777777" w:rsidR="00795E60" w:rsidRDefault="00F56376">
            <w:pPr>
              <w:pStyle w:val="Tabellcell"/>
              <w:widowControl w:val="0"/>
            </w:pPr>
            <w:r>
              <w:rPr>
                <w:b/>
                <w:i/>
              </w:rPr>
              <w:t>Kommentar</w:t>
            </w:r>
          </w:p>
          <w:p w14:paraId="04E21E3B" w14:textId="77777777" w:rsidR="00795E60" w:rsidRDefault="00F56376">
            <w:pPr>
              <w:pStyle w:val="Tabellcell"/>
              <w:widowControl w:val="0"/>
            </w:pPr>
            <w:r>
              <w:t xml:space="preserve">Det senast kända värdet är för 2024. Det visar att antalet </w:t>
            </w:r>
            <w:r>
              <w:t>aktiviteter med nationella minoriteters språk och kultur i fokus inte nådde upp till målvärdet som är 15 aktiviteter.</w:t>
            </w:r>
          </w:p>
        </w:tc>
      </w:tr>
      <w:tr w:rsidR="00FC2AD8" w14:paraId="5EF5AA44" w14:textId="77777777">
        <w:trPr>
          <w:cantSplit w:val="0"/>
        </w:trPr>
        <w:tc>
          <w:tcPr>
            <w:tcW w:w="4536" w:type="dxa"/>
            <w:tcBorders>
              <w:top w:val="single" w:sz="4" w:space="0" w:color="auto"/>
              <w:left w:val="nil"/>
              <w:bottom w:val="nil"/>
              <w:right w:val="nil"/>
            </w:tcBorders>
            <w:shd w:val="clear" w:color="auto" w:fill="FFFFFF"/>
          </w:tcPr>
          <w:p w14:paraId="4BC1313B" w14:textId="77777777" w:rsidR="00795E60" w:rsidRDefault="00F56376">
            <w:pPr>
              <w:pStyle w:val="Tabellcell"/>
            </w:pPr>
            <w:r>
              <w:rPr>
                <w:b/>
              </w:rPr>
              <w:t>Årsarbetskrafter fördelade på kön hos de regionalt finansierade kulturaktörerna</w:t>
            </w:r>
          </w:p>
        </w:tc>
        <w:tc>
          <w:tcPr>
            <w:tcW w:w="1701" w:type="dxa"/>
            <w:tcBorders>
              <w:top w:val="single" w:sz="4" w:space="0" w:color="auto"/>
              <w:left w:val="nil"/>
              <w:bottom w:val="nil"/>
              <w:right w:val="nil"/>
            </w:tcBorders>
            <w:shd w:val="clear" w:color="auto" w:fill="FFFFFF"/>
          </w:tcPr>
          <w:p w14:paraId="4D8A80F8" w14:textId="77777777" w:rsidR="00795E60" w:rsidRDefault="00F56376">
            <w:pPr>
              <w:pStyle w:val="Tabellcell"/>
              <w:jc w:val="center"/>
            </w:pPr>
            <w:r>
              <w:t>57 %</w:t>
            </w:r>
          </w:p>
        </w:tc>
        <w:tc>
          <w:tcPr>
            <w:tcW w:w="1701" w:type="dxa"/>
            <w:tcBorders>
              <w:top w:val="single" w:sz="4" w:space="0" w:color="auto"/>
              <w:left w:val="nil"/>
              <w:bottom w:val="nil"/>
              <w:right w:val="nil"/>
            </w:tcBorders>
            <w:shd w:val="clear" w:color="auto" w:fill="FFFFFF"/>
          </w:tcPr>
          <w:p w14:paraId="55829072" w14:textId="77777777" w:rsidR="00795E60" w:rsidRDefault="00F56376">
            <w:pPr>
              <w:pStyle w:val="Tabellcell"/>
              <w:jc w:val="center"/>
            </w:pPr>
            <w:r>
              <w:t>Kvinnor 40- 60 %</w:t>
            </w:r>
          </w:p>
        </w:tc>
        <w:tc>
          <w:tcPr>
            <w:tcW w:w="1701" w:type="dxa"/>
            <w:tcBorders>
              <w:top w:val="single" w:sz="4" w:space="0" w:color="auto"/>
              <w:left w:val="nil"/>
              <w:bottom w:val="nil"/>
              <w:right w:val="nil"/>
            </w:tcBorders>
            <w:shd w:val="clear" w:color="auto" w:fill="FFFFFF"/>
          </w:tcPr>
          <w:p w14:paraId="0CEC43E7" w14:textId="77777777" w:rsidR="00795E60" w:rsidRDefault="00F56376">
            <w:pPr>
              <w:pStyle w:val="Tabellcell"/>
              <w:jc w:val="center"/>
            </w:pPr>
            <w:r>
              <w:t>60 %</w:t>
            </w:r>
          </w:p>
        </w:tc>
      </w:tr>
      <w:tr w:rsidR="00FC2AD8" w14:paraId="763B42A4" w14:textId="77777777">
        <w:trPr>
          <w:cantSplit w:val="0"/>
        </w:trPr>
        <w:tc>
          <w:tcPr>
            <w:tcW w:w="9639" w:type="dxa"/>
            <w:gridSpan w:val="4"/>
            <w:tcBorders>
              <w:top w:val="nil"/>
              <w:left w:val="nil"/>
              <w:bottom w:val="single" w:sz="4" w:space="0" w:color="auto"/>
              <w:right w:val="nil"/>
            </w:tcBorders>
            <w:shd w:val="clear" w:color="auto" w:fill="FFFFFF"/>
          </w:tcPr>
          <w:p w14:paraId="1191D922" w14:textId="77777777" w:rsidR="00795E60" w:rsidRDefault="00F56376">
            <w:pPr>
              <w:pStyle w:val="Tabellcell"/>
              <w:widowControl w:val="0"/>
            </w:pPr>
            <w:r>
              <w:rPr>
                <w:b/>
                <w:i/>
              </w:rPr>
              <w:t>Kommentar</w:t>
            </w:r>
          </w:p>
          <w:p w14:paraId="2343AC71" w14:textId="77777777" w:rsidR="00795E60" w:rsidRDefault="00F56376">
            <w:pPr>
              <w:pStyle w:val="Tabellcell"/>
              <w:widowControl w:val="0"/>
            </w:pPr>
            <w:r>
              <w:t xml:space="preserve">Det senast </w:t>
            </w:r>
            <w:r>
              <w:t xml:space="preserve">kända värdet är för 2024. Det visar att könsfördelningen mellan kvinnor och män hos de regionalt </w:t>
            </w:r>
            <w:r>
              <w:lastRenderedPageBreak/>
              <w:t>finansierade kulturaktörerna ligger inom målvärdet. Andelen årsarbetskrafter för kvinnor var 57 procent och för män 43 procent. Det långsiktiga målvärdet för könsfördelningen är mellan 40 – 60 procent.</w:t>
            </w:r>
          </w:p>
        </w:tc>
      </w:tr>
      <w:tr w:rsidR="00FC2AD8" w14:paraId="13CE54E4" w14:textId="77777777">
        <w:trPr>
          <w:cantSplit w:val="0"/>
        </w:trPr>
        <w:tc>
          <w:tcPr>
            <w:tcW w:w="4536" w:type="dxa"/>
            <w:tcBorders>
              <w:top w:val="single" w:sz="4" w:space="0" w:color="auto"/>
              <w:left w:val="nil"/>
              <w:bottom w:val="nil"/>
              <w:right w:val="nil"/>
            </w:tcBorders>
            <w:shd w:val="clear" w:color="auto" w:fill="FFFFFF"/>
          </w:tcPr>
          <w:p w14:paraId="5A787461" w14:textId="77777777" w:rsidR="00795E60" w:rsidRDefault="00F56376">
            <w:pPr>
              <w:pStyle w:val="Tabellcell"/>
            </w:pPr>
            <w:r>
              <w:rPr>
                <w:b/>
              </w:rPr>
              <w:lastRenderedPageBreak/>
              <w:t>Könsfördelningen bland enskilda kulturskapare som mottar bidrag, stipendier eller andra stöd</w:t>
            </w:r>
          </w:p>
        </w:tc>
        <w:tc>
          <w:tcPr>
            <w:tcW w:w="1701" w:type="dxa"/>
            <w:tcBorders>
              <w:top w:val="single" w:sz="4" w:space="0" w:color="auto"/>
              <w:left w:val="nil"/>
              <w:bottom w:val="nil"/>
              <w:right w:val="nil"/>
            </w:tcBorders>
            <w:shd w:val="clear" w:color="auto" w:fill="FFFFFF"/>
          </w:tcPr>
          <w:p w14:paraId="5A158F2B" w14:textId="77777777" w:rsidR="00795E60" w:rsidRDefault="00F56376">
            <w:pPr>
              <w:pStyle w:val="Tabellcell"/>
              <w:jc w:val="center"/>
            </w:pPr>
            <w:r>
              <w:t>67 %</w:t>
            </w:r>
          </w:p>
        </w:tc>
        <w:tc>
          <w:tcPr>
            <w:tcW w:w="1701" w:type="dxa"/>
            <w:tcBorders>
              <w:top w:val="single" w:sz="4" w:space="0" w:color="auto"/>
              <w:left w:val="nil"/>
              <w:bottom w:val="nil"/>
              <w:right w:val="nil"/>
            </w:tcBorders>
            <w:shd w:val="clear" w:color="auto" w:fill="FFFFFF"/>
          </w:tcPr>
          <w:p w14:paraId="08224DF9" w14:textId="77777777" w:rsidR="00795E60" w:rsidRDefault="00F56376">
            <w:pPr>
              <w:pStyle w:val="Tabellcell"/>
              <w:jc w:val="center"/>
            </w:pPr>
            <w:r>
              <w:t>Kvinnor 40- 60 %</w:t>
            </w:r>
          </w:p>
        </w:tc>
        <w:tc>
          <w:tcPr>
            <w:tcW w:w="1701" w:type="dxa"/>
            <w:tcBorders>
              <w:top w:val="single" w:sz="4" w:space="0" w:color="auto"/>
              <w:left w:val="nil"/>
              <w:bottom w:val="nil"/>
              <w:right w:val="nil"/>
            </w:tcBorders>
            <w:shd w:val="clear" w:color="auto" w:fill="FFFFFF"/>
          </w:tcPr>
          <w:p w14:paraId="27160BC5" w14:textId="77777777" w:rsidR="00795E60" w:rsidRDefault="00F56376">
            <w:pPr>
              <w:pStyle w:val="Tabellcell"/>
              <w:jc w:val="center"/>
            </w:pPr>
            <w:r>
              <w:t>60 %</w:t>
            </w:r>
          </w:p>
        </w:tc>
      </w:tr>
      <w:tr w:rsidR="00FC2AD8" w14:paraId="7FD28A07" w14:textId="77777777">
        <w:trPr>
          <w:cantSplit w:val="0"/>
        </w:trPr>
        <w:tc>
          <w:tcPr>
            <w:tcW w:w="9639" w:type="dxa"/>
            <w:gridSpan w:val="4"/>
            <w:tcBorders>
              <w:top w:val="nil"/>
              <w:left w:val="nil"/>
              <w:bottom w:val="single" w:sz="4" w:space="0" w:color="auto"/>
              <w:right w:val="nil"/>
            </w:tcBorders>
            <w:shd w:val="clear" w:color="auto" w:fill="FFFFFF"/>
          </w:tcPr>
          <w:p w14:paraId="6D9B7DE0" w14:textId="77777777" w:rsidR="00795E60" w:rsidRDefault="00F56376">
            <w:pPr>
              <w:pStyle w:val="Tabellcell"/>
              <w:widowControl w:val="0"/>
            </w:pPr>
            <w:r>
              <w:rPr>
                <w:b/>
                <w:i/>
              </w:rPr>
              <w:t>Kommentar</w:t>
            </w:r>
          </w:p>
          <w:p w14:paraId="0138EC6C" w14:textId="77777777" w:rsidR="00795E60" w:rsidRDefault="00F56376">
            <w:pPr>
              <w:pStyle w:val="Tabellcell"/>
              <w:widowControl w:val="0"/>
            </w:pPr>
            <w:r>
              <w:t xml:space="preserve">Det senast kända värdet är för 2025. Det visar att andelen kvinnor som </w:t>
            </w:r>
            <w:r>
              <w:t>mottar bidrag, stipendier eller andra stöd var något högre än målvärdet. Andelen kvinnor som mottog bidrag, stipendier eller andra stöd var 67 procent, andelen män som mottog bidrag, stipendier eller andra stöd var 33 procent. Det långsiktiga målvärdet för könsfördelningen är mellan 40 – 60 procent. Totalt fördelades 42 bidrag, stipendier eller andra stöd (inklusive residensplatser) under 2025.</w:t>
            </w:r>
          </w:p>
        </w:tc>
      </w:tr>
      <w:tr w:rsidR="00FC2AD8" w14:paraId="6342A88B" w14:textId="77777777">
        <w:trPr>
          <w:cantSplit w:val="0"/>
        </w:trPr>
        <w:tc>
          <w:tcPr>
            <w:tcW w:w="4536" w:type="dxa"/>
            <w:tcBorders>
              <w:top w:val="single" w:sz="4" w:space="0" w:color="auto"/>
              <w:left w:val="nil"/>
              <w:bottom w:val="nil"/>
              <w:right w:val="nil"/>
            </w:tcBorders>
            <w:shd w:val="clear" w:color="auto" w:fill="FFFFFF"/>
          </w:tcPr>
          <w:p w14:paraId="4B06217C" w14:textId="77777777" w:rsidR="00795E60" w:rsidRDefault="00F56376">
            <w:pPr>
              <w:pStyle w:val="Tabellcell"/>
            </w:pPr>
            <w:r>
              <w:rPr>
                <w:b/>
              </w:rPr>
              <w:t>Andelen föreställningar, visningar och andra aktiviteter som de regionalt finansierade kulturaktörerna genomför utanför Örebro kommun</w:t>
            </w:r>
          </w:p>
        </w:tc>
        <w:tc>
          <w:tcPr>
            <w:tcW w:w="1701" w:type="dxa"/>
            <w:tcBorders>
              <w:top w:val="single" w:sz="4" w:space="0" w:color="auto"/>
              <w:left w:val="nil"/>
              <w:bottom w:val="nil"/>
              <w:right w:val="nil"/>
            </w:tcBorders>
            <w:shd w:val="clear" w:color="auto" w:fill="FFFFFF"/>
          </w:tcPr>
          <w:p w14:paraId="453F697D" w14:textId="77777777" w:rsidR="00795E60" w:rsidRDefault="00F56376">
            <w:pPr>
              <w:pStyle w:val="Tabellcell"/>
              <w:jc w:val="center"/>
            </w:pPr>
            <w:r>
              <w:t>48 %</w:t>
            </w:r>
          </w:p>
        </w:tc>
        <w:tc>
          <w:tcPr>
            <w:tcW w:w="1701" w:type="dxa"/>
            <w:tcBorders>
              <w:top w:val="single" w:sz="4" w:space="0" w:color="auto"/>
              <w:left w:val="nil"/>
              <w:bottom w:val="nil"/>
              <w:right w:val="nil"/>
            </w:tcBorders>
            <w:shd w:val="clear" w:color="auto" w:fill="FFFFFF"/>
          </w:tcPr>
          <w:p w14:paraId="2CBEB947" w14:textId="77777777" w:rsidR="00795E60" w:rsidRDefault="00F56376">
            <w:pPr>
              <w:pStyle w:val="Tabellcell"/>
              <w:jc w:val="center"/>
            </w:pPr>
            <w:r>
              <w:t>50 %</w:t>
            </w:r>
          </w:p>
        </w:tc>
        <w:tc>
          <w:tcPr>
            <w:tcW w:w="1701" w:type="dxa"/>
            <w:tcBorders>
              <w:top w:val="single" w:sz="4" w:space="0" w:color="auto"/>
              <w:left w:val="nil"/>
              <w:bottom w:val="nil"/>
              <w:right w:val="nil"/>
            </w:tcBorders>
            <w:shd w:val="clear" w:color="auto" w:fill="FFFFFF"/>
          </w:tcPr>
          <w:p w14:paraId="2BD69C9B" w14:textId="77777777" w:rsidR="00795E60" w:rsidRDefault="00F56376">
            <w:pPr>
              <w:pStyle w:val="Tabellcell"/>
              <w:jc w:val="center"/>
            </w:pPr>
            <w:r>
              <w:t>50 %</w:t>
            </w:r>
          </w:p>
        </w:tc>
      </w:tr>
      <w:tr w:rsidR="00FC2AD8" w14:paraId="0503FC7A" w14:textId="77777777">
        <w:trPr>
          <w:cantSplit w:val="0"/>
        </w:trPr>
        <w:tc>
          <w:tcPr>
            <w:tcW w:w="9639" w:type="dxa"/>
            <w:gridSpan w:val="4"/>
            <w:tcBorders>
              <w:top w:val="nil"/>
              <w:left w:val="nil"/>
              <w:bottom w:val="single" w:sz="4" w:space="0" w:color="auto"/>
              <w:right w:val="nil"/>
            </w:tcBorders>
            <w:shd w:val="clear" w:color="auto" w:fill="FFFFFF"/>
          </w:tcPr>
          <w:p w14:paraId="0F48CC38" w14:textId="77777777" w:rsidR="00795E60" w:rsidRDefault="00F56376">
            <w:pPr>
              <w:pStyle w:val="Tabellcell"/>
              <w:widowControl w:val="0"/>
            </w:pPr>
            <w:r>
              <w:rPr>
                <w:b/>
                <w:i/>
              </w:rPr>
              <w:t>Kommentar</w:t>
            </w:r>
          </w:p>
          <w:p w14:paraId="76CF2D26" w14:textId="77777777" w:rsidR="00795E60" w:rsidRDefault="00F56376">
            <w:pPr>
              <w:pStyle w:val="Tabellcell"/>
              <w:widowControl w:val="0"/>
            </w:pPr>
            <w:r>
              <w:t>Det senast kända värdet är för 2024. Det visar att andelen föreställningar, visningar och andra aktiviteter som de regionalt finansierade kulturaktörerna genomför utanför Örebro kommun är något lägre än målvärdet och har sjunkit från 69 procent 2023 till 48 procent 2024. Förändringen kan delvis kopplas till osäkra siffror hos länets mindre museer.</w:t>
            </w:r>
          </w:p>
        </w:tc>
      </w:tr>
    </w:tbl>
    <w:p w14:paraId="04F97691" w14:textId="77777777" w:rsidR="00795E60" w:rsidRDefault="00F56376">
      <w:pPr>
        <w:pStyle w:val="Rubrik4"/>
      </w:pPr>
      <w:r>
        <w:t xml:space="preserve">Mål: Region Örebro län har genom samverkan mellan kultur, andra samhällsområden och aktörer, som länets </w:t>
      </w:r>
      <w:r>
        <w:t>kommuner, bidragit till utveckling av länets kulturella infrastruktur och en mer hållbar samhällsutveckling. Särskilt prioriterat 2025 är att stärka samverkan med länets kommuner och andra samhällsområden kring kultur och barn samt kultur och inkludering (utifrån RUS kraftsamlingar).</w:t>
      </w:r>
    </w:p>
    <w:p w14:paraId="71464C86" w14:textId="77777777" w:rsidR="00795E60" w:rsidRDefault="00F56376">
      <w:pPr>
        <w:pStyle w:val="Texttitel"/>
      </w:pPr>
      <w:r>
        <w:t>Kommentar</w:t>
      </w:r>
    </w:p>
    <w:p w14:paraId="30F2A532" w14:textId="77777777" w:rsidR="00795E60" w:rsidRDefault="00F56376">
      <w:pPr>
        <w:pStyle w:val="BodyText"/>
        <w:widowControl w:val="0"/>
      </w:pPr>
      <w:r>
        <w:t>Region Örebro län driver flera samverkansprojekt tillsammans med länets kommuner och andra politikområden inom kultur och hälsa, kulturturism och kultur i skolan.</w:t>
      </w:r>
    </w:p>
    <w:p w14:paraId="67B83405" w14:textId="77777777" w:rsidR="00795E60" w:rsidRDefault="00F56376">
      <w:pPr>
        <w:pStyle w:val="BodyText"/>
        <w:widowControl w:val="0"/>
        <w:numPr>
          <w:ilvl w:val="0"/>
          <w:numId w:val="19"/>
        </w:numPr>
        <w:spacing w:after="0"/>
      </w:pPr>
      <w:r>
        <w:t>I oktober 2025 arrangerade regionen konferensen ”Om att skapa mening, delaktighet och psykisk hälsa tillsammans”, där kulturens roll i att främja psykisk hälsa stod i centrum. Genom föreläsningar, teater, musik och litteratur visades hur kreativa uttryck kan bidra till ökad livskvalitet, delaktighet och meningsfullhet. Konferensen samlade yrkesverksamma, civilsamhället och personer med egen erfarenhet för att utforska kulturens potential inom vård och omsorg. Vissa planerade insatser inom kultur och hälsa h</w:t>
      </w:r>
      <w:r>
        <w:t>ar dock inte kunnat genomföras som planerat under 2025.</w:t>
      </w:r>
    </w:p>
    <w:p w14:paraId="20B0A140" w14:textId="77777777" w:rsidR="00795E60" w:rsidRDefault="00F56376">
      <w:pPr>
        <w:pStyle w:val="BodyText"/>
        <w:widowControl w:val="0"/>
        <w:numPr>
          <w:ilvl w:val="0"/>
          <w:numId w:val="19"/>
        </w:numPr>
        <w:spacing w:after="0"/>
      </w:pPr>
      <w:r>
        <w:t>Det treåriga projektet Kulturella kraftfält, som genomfördes i samverkan med Region Västmanland och med inslag av samarbete med Norge, syftade till att stärka tillgången till kultur på landsbygden och kulturens roll inom platsutveckling. Under 2025, som var projektets sista år, genomfördes bland annat en slutkonferens i september samt residens inom flera kulturformer i Tivedstorp i maj.</w:t>
      </w:r>
    </w:p>
    <w:p w14:paraId="3326CA46" w14:textId="77777777" w:rsidR="00795E60" w:rsidRDefault="00F56376">
      <w:pPr>
        <w:pStyle w:val="BodyText"/>
        <w:widowControl w:val="0"/>
        <w:numPr>
          <w:ilvl w:val="0"/>
          <w:numId w:val="19"/>
        </w:numPr>
      </w:pPr>
      <w:r>
        <w:t>Kulturkraft är ett samarbete mellan Region Örebro län och länets kommuner med målet att stärka kommunernas möjligheter att erbjuda professionell kultur i skolorna. De medel som fördelades inom Kulturkraft 2025 användes till faktiska kulturkostnader och resor till och från kulturaktörer, och en kulturutbudsdag genomfördes i november.</w:t>
      </w:r>
    </w:p>
    <w:p w14:paraId="722AB7D8" w14:textId="77777777" w:rsidR="00795E60" w:rsidRDefault="00F56376">
      <w:pPr>
        <w:pStyle w:val="BodyText"/>
        <w:widowControl w:val="0"/>
      </w:pPr>
      <w:r>
        <w:t xml:space="preserve">En kontinuerlig övergripande strategisk samverkan pågår med länets kommuner genom Specifika samverkansrådet kultur. En kontinuerlig samverkan sker också genom främjandeverksamheterna/utvecklingsledarna </w:t>
      </w:r>
      <w:r>
        <w:lastRenderedPageBreak/>
        <w:t>hos Region Örebro län. 2025 gavs bland annat stöd till kommuner (utom Örebro kommun) som ville delta i Open Art 2026, genomfördes en filmpedagogisk satsning i grundskolan samt gavs kommuner möjlighet att stärka den professionella dansen genom Danspunkt. Merparten av de regionalt finansierade kulturaktörerna uppgav vid årets dialog med Region Örebro län att de samverkar med och har dialoger med de kommuner som finansierar dem.</w:t>
      </w:r>
    </w:p>
    <w:p w14:paraId="6BDBC031" w14:textId="77777777" w:rsidR="00795E60" w:rsidRDefault="00F56376">
      <w:pPr>
        <w:pStyle w:val="BodyText"/>
        <w:widowControl w:val="0"/>
      </w:pPr>
      <w:r>
        <w:t>Det går att bedöma om en satsning har bidragit till att stärka strukturer samt hur många som har tagit del av insatsen. Däremot kräver en bedömning av vilka satsningar som är mest lyckade eller i vilken grad de bidrar till en mer hållbar samhällsutveckling forskningsinsatser och djupare analyser. Sådan information finns i nuläget inte tillgänglig.</w:t>
      </w:r>
    </w:p>
    <w:p w14:paraId="68691933" w14:textId="77777777" w:rsidR="00795E60" w:rsidRDefault="00F56376">
      <w:pPr>
        <w:pStyle w:val="BodyText"/>
        <w:widowControl w:val="0"/>
      </w:pPr>
      <w:r>
        <w:t>Långsiktiga målvärden för styrtalen är samma som de kortsiktiga det vill säga att bibehålla en stabil utveckling.</w:t>
      </w:r>
    </w:p>
    <w:p w14:paraId="22F8AE0B" w14:textId="77777777" w:rsidR="00795E60" w:rsidRDefault="00F56376">
      <w:pPr>
        <w:pStyle w:val="BodyText"/>
        <w:widowControl w:val="0"/>
        <w:numPr>
          <w:ilvl w:val="0"/>
          <w:numId w:val="19"/>
        </w:numPr>
      </w:pPr>
      <w:r>
        <w:t>Bedömningen utifrån nämndens/verksamhetens redovisning, styrtal och uppdrag är att målet delvis har uppnåtts.</w:t>
      </w:r>
    </w:p>
    <w:tbl>
      <w:tblPr>
        <w:tblStyle w:val="Tabellrutnt"/>
        <w:tblOverlap w:val="never"/>
        <w:tblW w:w="0" w:type="auto"/>
        <w:tblLayout w:type="fixed"/>
        <w:tblLook w:val="04A0" w:firstRow="1" w:lastRow="0" w:firstColumn="1" w:lastColumn="0" w:noHBand="0" w:noVBand="1"/>
      </w:tblPr>
      <w:tblGrid>
        <w:gridCol w:w="4536"/>
        <w:gridCol w:w="1701"/>
        <w:gridCol w:w="1701"/>
        <w:gridCol w:w="1701"/>
      </w:tblGrid>
      <w:tr w:rsidR="00FC2AD8" w14:paraId="7FCE75B8" w14:textId="77777777">
        <w:trPr>
          <w:cantSplit w:val="0"/>
          <w:tblHeader/>
        </w:trPr>
        <w:tc>
          <w:tcPr>
            <w:tcW w:w="4536" w:type="dxa"/>
            <w:tcBorders>
              <w:top w:val="single" w:sz="4" w:space="0" w:color="auto"/>
              <w:left w:val="nil"/>
              <w:bottom w:val="single" w:sz="4" w:space="0" w:color="auto"/>
              <w:right w:val="nil"/>
            </w:tcBorders>
            <w:shd w:val="clear" w:color="auto" w:fill="E1E9F2"/>
            <w:vAlign w:val="center"/>
          </w:tcPr>
          <w:p w14:paraId="3939A0C8" w14:textId="77777777" w:rsidR="00795E60" w:rsidRDefault="00F56376">
            <w:pPr>
              <w:pStyle w:val="Tabellcell"/>
            </w:pPr>
            <w:r>
              <w:rPr>
                <w:b/>
              </w:rPr>
              <w:t>Styrtal</w:t>
            </w:r>
          </w:p>
        </w:tc>
        <w:tc>
          <w:tcPr>
            <w:tcW w:w="1701" w:type="dxa"/>
            <w:tcBorders>
              <w:top w:val="single" w:sz="4" w:space="0" w:color="auto"/>
              <w:left w:val="nil"/>
              <w:bottom w:val="single" w:sz="4" w:space="0" w:color="auto"/>
              <w:right w:val="nil"/>
            </w:tcBorders>
            <w:shd w:val="clear" w:color="auto" w:fill="E1E9F2"/>
            <w:vAlign w:val="center"/>
          </w:tcPr>
          <w:p w14:paraId="72D9E8C0" w14:textId="77777777" w:rsidR="00795E60" w:rsidRDefault="00F56376">
            <w:pPr>
              <w:pStyle w:val="Tabellcell"/>
              <w:jc w:val="center"/>
            </w:pPr>
            <w:r>
              <w:rPr>
                <w:b/>
              </w:rPr>
              <w:t>Utfall</w:t>
            </w:r>
          </w:p>
        </w:tc>
        <w:tc>
          <w:tcPr>
            <w:tcW w:w="1701" w:type="dxa"/>
            <w:tcBorders>
              <w:top w:val="single" w:sz="4" w:space="0" w:color="auto"/>
              <w:left w:val="nil"/>
              <w:bottom w:val="single" w:sz="4" w:space="0" w:color="auto"/>
              <w:right w:val="nil"/>
            </w:tcBorders>
            <w:shd w:val="clear" w:color="auto" w:fill="E1E9F2"/>
            <w:vAlign w:val="center"/>
          </w:tcPr>
          <w:p w14:paraId="2CC3149F" w14:textId="77777777" w:rsidR="00795E60" w:rsidRDefault="00F56376">
            <w:pPr>
              <w:pStyle w:val="Tabellcell"/>
              <w:jc w:val="center"/>
            </w:pPr>
            <w:r>
              <w:rPr>
                <w:b/>
              </w:rPr>
              <w:t>Årets målvärde</w:t>
            </w:r>
          </w:p>
        </w:tc>
        <w:tc>
          <w:tcPr>
            <w:tcW w:w="1701" w:type="dxa"/>
            <w:tcBorders>
              <w:top w:val="single" w:sz="4" w:space="0" w:color="auto"/>
              <w:left w:val="nil"/>
              <w:bottom w:val="single" w:sz="4" w:space="0" w:color="auto"/>
              <w:right w:val="nil"/>
            </w:tcBorders>
            <w:shd w:val="clear" w:color="auto" w:fill="E1E9F2"/>
            <w:vAlign w:val="center"/>
          </w:tcPr>
          <w:p w14:paraId="52FAEFCD" w14:textId="77777777" w:rsidR="00795E60" w:rsidRDefault="00F56376">
            <w:pPr>
              <w:pStyle w:val="Tabellcell"/>
              <w:jc w:val="center"/>
            </w:pPr>
            <w:r>
              <w:rPr>
                <w:b/>
              </w:rPr>
              <w:t>Långsiktigt målvärde</w:t>
            </w:r>
          </w:p>
        </w:tc>
      </w:tr>
      <w:tr w:rsidR="00FC2AD8" w14:paraId="60FE0CC7" w14:textId="77777777">
        <w:trPr>
          <w:cantSplit w:val="0"/>
        </w:trPr>
        <w:tc>
          <w:tcPr>
            <w:tcW w:w="4536" w:type="dxa"/>
            <w:tcBorders>
              <w:top w:val="single" w:sz="4" w:space="0" w:color="auto"/>
              <w:left w:val="nil"/>
              <w:bottom w:val="nil"/>
              <w:right w:val="nil"/>
            </w:tcBorders>
            <w:shd w:val="clear" w:color="auto" w:fill="FFFFFF"/>
          </w:tcPr>
          <w:p w14:paraId="2E87036A" w14:textId="77777777" w:rsidR="00795E60" w:rsidRDefault="00F56376">
            <w:pPr>
              <w:pStyle w:val="Tabellcell"/>
            </w:pPr>
            <w:r>
              <w:rPr>
                <w:b/>
              </w:rPr>
              <w:t xml:space="preserve">Medel till kultur och hälsa (Målvärdet är 2023 års värde </w:t>
            </w:r>
            <w:r>
              <w:rPr>
                <w:b/>
              </w:rPr>
              <w:t>efter indexuppräkning)</w:t>
            </w:r>
          </w:p>
        </w:tc>
        <w:tc>
          <w:tcPr>
            <w:tcW w:w="1701" w:type="dxa"/>
            <w:tcBorders>
              <w:top w:val="single" w:sz="4" w:space="0" w:color="auto"/>
              <w:left w:val="nil"/>
              <w:bottom w:val="nil"/>
              <w:right w:val="nil"/>
            </w:tcBorders>
            <w:shd w:val="clear" w:color="auto" w:fill="FFFFFF"/>
          </w:tcPr>
          <w:p w14:paraId="0C9ABED2" w14:textId="77777777" w:rsidR="00795E60" w:rsidRDefault="00F56376">
            <w:pPr>
              <w:pStyle w:val="Tabellcell"/>
              <w:jc w:val="center"/>
            </w:pPr>
            <w:r>
              <w:t>30 000 kr</w:t>
            </w:r>
          </w:p>
        </w:tc>
        <w:tc>
          <w:tcPr>
            <w:tcW w:w="1701" w:type="dxa"/>
            <w:tcBorders>
              <w:top w:val="single" w:sz="4" w:space="0" w:color="auto"/>
              <w:left w:val="nil"/>
              <w:bottom w:val="nil"/>
              <w:right w:val="nil"/>
            </w:tcBorders>
            <w:shd w:val="clear" w:color="auto" w:fill="FFFFFF"/>
          </w:tcPr>
          <w:p w14:paraId="27973271" w14:textId="77777777" w:rsidR="00795E60" w:rsidRDefault="00F56376">
            <w:pPr>
              <w:pStyle w:val="Tabellcell"/>
              <w:jc w:val="center"/>
            </w:pPr>
            <w:r>
              <w:t>186 501</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6E76DCB5" w14:textId="77777777" w:rsidR="00795E60" w:rsidRDefault="00795E60">
            <w:pPr>
              <w:pStyle w:val="Tabellcell"/>
              <w:jc w:val="center"/>
            </w:pPr>
          </w:p>
        </w:tc>
      </w:tr>
      <w:tr w:rsidR="00FC2AD8" w14:paraId="0C3E2567" w14:textId="77777777">
        <w:trPr>
          <w:cantSplit w:val="0"/>
        </w:trPr>
        <w:tc>
          <w:tcPr>
            <w:tcW w:w="9639" w:type="dxa"/>
            <w:gridSpan w:val="4"/>
            <w:tcBorders>
              <w:top w:val="nil"/>
              <w:left w:val="nil"/>
              <w:bottom w:val="single" w:sz="4" w:space="0" w:color="auto"/>
              <w:right w:val="nil"/>
            </w:tcBorders>
            <w:shd w:val="clear" w:color="auto" w:fill="FFFFFF"/>
          </w:tcPr>
          <w:p w14:paraId="0D3D2668" w14:textId="77777777" w:rsidR="00795E60" w:rsidRDefault="00F56376">
            <w:pPr>
              <w:pStyle w:val="Tabellcell"/>
              <w:widowControl w:val="0"/>
            </w:pPr>
            <w:r>
              <w:rPr>
                <w:b/>
                <w:i/>
              </w:rPr>
              <w:t>Kommentar</w:t>
            </w:r>
          </w:p>
          <w:p w14:paraId="7DF71DC6" w14:textId="77777777" w:rsidR="00795E60" w:rsidRDefault="00F56376">
            <w:pPr>
              <w:pStyle w:val="Tabellcell"/>
              <w:widowControl w:val="0"/>
            </w:pPr>
            <w:r>
              <w:t xml:space="preserve">De budgeterade verksamhetsmedlen för kultur och hälsa låg 2025 på en liknande nivå som tidigare år. I praktiken har dock inte samtliga medel kunnat användas på grund av att ansvarig för området </w:t>
            </w:r>
            <w:r>
              <w:t>tilldelades andra arbetsuppgifter under 2025.</w:t>
            </w:r>
          </w:p>
        </w:tc>
      </w:tr>
      <w:tr w:rsidR="00FC2AD8" w14:paraId="43D2127F" w14:textId="77777777">
        <w:trPr>
          <w:cantSplit w:val="0"/>
        </w:trPr>
        <w:tc>
          <w:tcPr>
            <w:tcW w:w="4536" w:type="dxa"/>
            <w:tcBorders>
              <w:top w:val="single" w:sz="4" w:space="0" w:color="auto"/>
              <w:left w:val="nil"/>
              <w:bottom w:val="nil"/>
              <w:right w:val="nil"/>
            </w:tcBorders>
            <w:shd w:val="clear" w:color="auto" w:fill="FFFFFF"/>
          </w:tcPr>
          <w:p w14:paraId="472D8642" w14:textId="77777777" w:rsidR="00795E60" w:rsidRDefault="00F56376">
            <w:pPr>
              <w:pStyle w:val="Tabellcell"/>
            </w:pPr>
            <w:r>
              <w:rPr>
                <w:b/>
              </w:rPr>
              <w:t>Antal möten som genomförs mellan region och kommuner i en etablerad samverkansstruktur för kultur</w:t>
            </w:r>
          </w:p>
        </w:tc>
        <w:tc>
          <w:tcPr>
            <w:tcW w:w="1701" w:type="dxa"/>
            <w:tcBorders>
              <w:top w:val="single" w:sz="4" w:space="0" w:color="auto"/>
              <w:left w:val="nil"/>
              <w:bottom w:val="nil"/>
              <w:right w:val="nil"/>
            </w:tcBorders>
            <w:shd w:val="clear" w:color="auto" w:fill="FFFFFF"/>
          </w:tcPr>
          <w:p w14:paraId="38846167" w14:textId="77777777" w:rsidR="00795E60" w:rsidRDefault="00F56376">
            <w:pPr>
              <w:pStyle w:val="Tabellcell"/>
              <w:jc w:val="center"/>
            </w:pPr>
            <w:r>
              <w:t>18 st</w:t>
            </w:r>
          </w:p>
        </w:tc>
        <w:tc>
          <w:tcPr>
            <w:tcW w:w="1701" w:type="dxa"/>
            <w:tcBorders>
              <w:top w:val="single" w:sz="4" w:space="0" w:color="auto"/>
              <w:left w:val="nil"/>
              <w:bottom w:val="nil"/>
              <w:right w:val="nil"/>
            </w:tcBorders>
            <w:shd w:val="clear" w:color="auto" w:fill="FFFFFF"/>
          </w:tcPr>
          <w:p w14:paraId="49997493" w14:textId="77777777" w:rsidR="00795E60" w:rsidRDefault="00F56376">
            <w:pPr>
              <w:pStyle w:val="Tabellcell"/>
              <w:jc w:val="center"/>
            </w:pPr>
            <w:r>
              <w:t>16 st</w:t>
            </w:r>
          </w:p>
        </w:tc>
        <w:tc>
          <w:tcPr>
            <w:tcW w:w="1701" w:type="dxa"/>
            <w:tcBorders>
              <w:top w:val="single" w:sz="4" w:space="0" w:color="auto"/>
              <w:left w:val="nil"/>
              <w:bottom w:val="nil"/>
              <w:right w:val="nil"/>
            </w:tcBorders>
            <w:shd w:val="clear" w:color="auto" w:fill="FFFFFF"/>
          </w:tcPr>
          <w:p w14:paraId="1F1A022C" w14:textId="77777777" w:rsidR="00795E60" w:rsidRDefault="00F56376">
            <w:pPr>
              <w:pStyle w:val="Tabellcell"/>
              <w:jc w:val="center"/>
            </w:pPr>
            <w:r>
              <w:t>16 st</w:t>
            </w:r>
          </w:p>
        </w:tc>
      </w:tr>
      <w:tr w:rsidR="00FC2AD8" w14:paraId="03AC0A44" w14:textId="77777777">
        <w:trPr>
          <w:cantSplit w:val="0"/>
        </w:trPr>
        <w:tc>
          <w:tcPr>
            <w:tcW w:w="9639" w:type="dxa"/>
            <w:gridSpan w:val="4"/>
            <w:tcBorders>
              <w:top w:val="nil"/>
              <w:left w:val="nil"/>
              <w:bottom w:val="single" w:sz="4" w:space="0" w:color="auto"/>
              <w:right w:val="nil"/>
            </w:tcBorders>
            <w:shd w:val="clear" w:color="auto" w:fill="FFFFFF"/>
          </w:tcPr>
          <w:p w14:paraId="6D1C7B09" w14:textId="77777777" w:rsidR="00795E60" w:rsidRDefault="00F56376">
            <w:pPr>
              <w:pStyle w:val="Tabellcell"/>
              <w:widowControl w:val="0"/>
            </w:pPr>
            <w:r>
              <w:rPr>
                <w:b/>
                <w:i/>
              </w:rPr>
              <w:t>Kommentar</w:t>
            </w:r>
          </w:p>
          <w:p w14:paraId="78A8ED7F" w14:textId="77777777" w:rsidR="00795E60" w:rsidRDefault="00F56376">
            <w:pPr>
              <w:pStyle w:val="Tabellcell"/>
              <w:widowControl w:val="0"/>
            </w:pPr>
            <w:r>
              <w:t>De möten som har planerats att genomföras inom samverkansrådet kultur, kulturchefsgruppen, bibliotekschefsgruppen och kultursekreterarnätverket under 2025 har genomförts enligt plan. Frågor som har diskuterats i grupperna är bland annat regional-kommunal samverkan och kultursamverkansmodellens utveckling.</w:t>
            </w:r>
          </w:p>
        </w:tc>
      </w:tr>
      <w:tr w:rsidR="00FC2AD8" w14:paraId="3479E284" w14:textId="77777777">
        <w:trPr>
          <w:cantSplit w:val="0"/>
        </w:trPr>
        <w:tc>
          <w:tcPr>
            <w:tcW w:w="4536" w:type="dxa"/>
            <w:tcBorders>
              <w:top w:val="single" w:sz="4" w:space="0" w:color="auto"/>
              <w:left w:val="nil"/>
              <w:bottom w:val="nil"/>
              <w:right w:val="nil"/>
            </w:tcBorders>
            <w:shd w:val="clear" w:color="auto" w:fill="FFFFFF"/>
          </w:tcPr>
          <w:p w14:paraId="7A12802E" w14:textId="77777777" w:rsidR="00795E60" w:rsidRDefault="00F56376">
            <w:pPr>
              <w:pStyle w:val="Tabellcell"/>
            </w:pPr>
            <w:r>
              <w:rPr>
                <w:b/>
              </w:rPr>
              <w:t xml:space="preserve">Kulturaktörer som är </w:t>
            </w:r>
            <w:r>
              <w:rPr>
                <w:b/>
              </w:rPr>
              <w:t>regionalt finansierade där region och kommun gemensamt bidrar med finansiering (Målvärde lika stor del av finansieringen)</w:t>
            </w:r>
          </w:p>
        </w:tc>
        <w:tc>
          <w:tcPr>
            <w:tcW w:w="1701" w:type="dxa"/>
            <w:tcBorders>
              <w:top w:val="single" w:sz="4" w:space="0" w:color="auto"/>
              <w:left w:val="nil"/>
              <w:bottom w:val="nil"/>
              <w:right w:val="nil"/>
            </w:tcBorders>
            <w:shd w:val="clear" w:color="auto" w:fill="FFFFFF"/>
          </w:tcPr>
          <w:p w14:paraId="32CC6EBB" w14:textId="77777777" w:rsidR="00795E60" w:rsidRDefault="00F56376">
            <w:pPr>
              <w:pStyle w:val="Tabellcell"/>
              <w:jc w:val="center"/>
            </w:pPr>
            <w:r>
              <w:t>49 %</w:t>
            </w:r>
          </w:p>
        </w:tc>
        <w:tc>
          <w:tcPr>
            <w:tcW w:w="1701" w:type="dxa"/>
            <w:tcBorders>
              <w:top w:val="single" w:sz="4" w:space="0" w:color="auto"/>
              <w:left w:val="nil"/>
              <w:bottom w:val="nil"/>
              <w:right w:val="nil"/>
            </w:tcBorders>
            <w:shd w:val="clear" w:color="auto" w:fill="FFFFFF"/>
          </w:tcPr>
          <w:p w14:paraId="67C0C5E3" w14:textId="77777777" w:rsidR="00795E60" w:rsidRDefault="00F56376">
            <w:pPr>
              <w:pStyle w:val="Tabellcell"/>
              <w:jc w:val="center"/>
            </w:pPr>
            <w:r>
              <w:t>Region Örebro län 50 %</w:t>
            </w:r>
          </w:p>
        </w:tc>
        <w:tc>
          <w:tcPr>
            <w:tcW w:w="1701" w:type="dxa"/>
            <w:tcBorders>
              <w:top w:val="single" w:sz="4" w:space="0" w:color="auto"/>
              <w:left w:val="nil"/>
              <w:bottom w:val="nil"/>
              <w:right w:val="nil"/>
            </w:tcBorders>
            <w:shd w:val="clear" w:color="auto" w:fill="FFFFFF"/>
          </w:tcPr>
          <w:p w14:paraId="69747A04" w14:textId="77777777" w:rsidR="00795E60" w:rsidRDefault="00F56376">
            <w:pPr>
              <w:pStyle w:val="Tabellcell"/>
              <w:jc w:val="center"/>
            </w:pPr>
            <w:r>
              <w:t>50 %</w:t>
            </w:r>
          </w:p>
        </w:tc>
      </w:tr>
      <w:tr w:rsidR="00FC2AD8" w14:paraId="25C3DD25" w14:textId="77777777">
        <w:trPr>
          <w:cantSplit w:val="0"/>
        </w:trPr>
        <w:tc>
          <w:tcPr>
            <w:tcW w:w="9639" w:type="dxa"/>
            <w:gridSpan w:val="4"/>
            <w:tcBorders>
              <w:top w:val="nil"/>
              <w:left w:val="nil"/>
              <w:bottom w:val="single" w:sz="4" w:space="0" w:color="auto"/>
              <w:right w:val="nil"/>
            </w:tcBorders>
            <w:shd w:val="clear" w:color="auto" w:fill="FFFFFF"/>
          </w:tcPr>
          <w:p w14:paraId="42F3AD7B" w14:textId="77777777" w:rsidR="00795E60" w:rsidRDefault="00F56376">
            <w:pPr>
              <w:pStyle w:val="Tabellcell"/>
              <w:widowControl w:val="0"/>
            </w:pPr>
            <w:r>
              <w:rPr>
                <w:b/>
                <w:i/>
              </w:rPr>
              <w:t>Kommentar</w:t>
            </w:r>
          </w:p>
          <w:p w14:paraId="1953251F" w14:textId="77777777" w:rsidR="00795E60" w:rsidRDefault="00F56376">
            <w:pPr>
              <w:pStyle w:val="Tabellcell"/>
              <w:widowControl w:val="0"/>
            </w:pPr>
            <w:r>
              <w:t>Det senast kända värdet för 2024 visar att Region Örebro län bidrog med 49 procent av finansieringen till de regionalt finansierade kulturaktörerna med uppdrag i kulturplanen, medan kommunerna bidrog med 51 procent. 2023 var fördelning mellan regionen och länets kommuner 50 procent vardera.</w:t>
            </w:r>
          </w:p>
        </w:tc>
      </w:tr>
      <w:tr w:rsidR="00FC2AD8" w14:paraId="76B035BE" w14:textId="77777777">
        <w:trPr>
          <w:cantSplit w:val="0"/>
        </w:trPr>
        <w:tc>
          <w:tcPr>
            <w:tcW w:w="4536" w:type="dxa"/>
            <w:tcBorders>
              <w:top w:val="single" w:sz="4" w:space="0" w:color="auto"/>
              <w:left w:val="nil"/>
              <w:bottom w:val="nil"/>
              <w:right w:val="nil"/>
            </w:tcBorders>
            <w:shd w:val="clear" w:color="auto" w:fill="FFFFFF"/>
          </w:tcPr>
          <w:p w14:paraId="6607A7D6" w14:textId="77777777" w:rsidR="00795E60" w:rsidRDefault="00F56376">
            <w:pPr>
              <w:pStyle w:val="Tabellcell"/>
            </w:pPr>
            <w:r>
              <w:rPr>
                <w:b/>
              </w:rPr>
              <w:t>Regionala medel till kultur i skolan genom kulturkraft i samverkan med länets kommuner (Målvärdet är 2023 års värde efter indexuppräkning)</w:t>
            </w:r>
          </w:p>
        </w:tc>
        <w:tc>
          <w:tcPr>
            <w:tcW w:w="1701" w:type="dxa"/>
            <w:tcBorders>
              <w:top w:val="single" w:sz="4" w:space="0" w:color="auto"/>
              <w:left w:val="nil"/>
              <w:bottom w:val="nil"/>
              <w:right w:val="nil"/>
            </w:tcBorders>
            <w:shd w:val="clear" w:color="auto" w:fill="FFFFFF"/>
          </w:tcPr>
          <w:p w14:paraId="4EBE9CF3" w14:textId="77777777" w:rsidR="00795E60" w:rsidRDefault="00F56376">
            <w:pPr>
              <w:pStyle w:val="Tabellcell"/>
              <w:jc w:val="center"/>
            </w:pPr>
            <w:r>
              <w:t>1 539 000</w:t>
            </w:r>
          </w:p>
        </w:tc>
        <w:tc>
          <w:tcPr>
            <w:tcW w:w="1701" w:type="dxa"/>
            <w:tcBorders>
              <w:top w:val="single" w:sz="4" w:space="0" w:color="auto"/>
              <w:left w:val="nil"/>
              <w:bottom w:val="nil"/>
              <w:right w:val="nil"/>
            </w:tcBorders>
            <w:shd w:val="clear" w:color="auto" w:fill="FFFFFF"/>
          </w:tcPr>
          <w:p w14:paraId="0197F8D0" w14:textId="77777777" w:rsidR="00795E60" w:rsidRDefault="00F56376">
            <w:pPr>
              <w:pStyle w:val="Tabellcell"/>
              <w:jc w:val="center"/>
            </w:pPr>
            <w:r>
              <w:t>1 512 170 kr</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3E30F192" w14:textId="77777777" w:rsidR="00795E60" w:rsidRDefault="00795E60">
            <w:pPr>
              <w:pStyle w:val="Tabellcell"/>
              <w:jc w:val="center"/>
            </w:pPr>
          </w:p>
        </w:tc>
      </w:tr>
      <w:tr w:rsidR="00FC2AD8" w14:paraId="742DC311" w14:textId="77777777">
        <w:trPr>
          <w:cantSplit w:val="0"/>
        </w:trPr>
        <w:tc>
          <w:tcPr>
            <w:tcW w:w="9639" w:type="dxa"/>
            <w:gridSpan w:val="4"/>
            <w:tcBorders>
              <w:top w:val="nil"/>
              <w:left w:val="nil"/>
              <w:bottom w:val="single" w:sz="4" w:space="0" w:color="auto"/>
              <w:right w:val="nil"/>
            </w:tcBorders>
            <w:shd w:val="clear" w:color="auto" w:fill="FFFFFF"/>
          </w:tcPr>
          <w:p w14:paraId="610ABF2B" w14:textId="77777777" w:rsidR="00795E60" w:rsidRDefault="00F56376">
            <w:pPr>
              <w:pStyle w:val="Tabellcell"/>
              <w:widowControl w:val="0"/>
            </w:pPr>
            <w:r>
              <w:rPr>
                <w:b/>
                <w:i/>
              </w:rPr>
              <w:t>Kommentar</w:t>
            </w:r>
          </w:p>
          <w:p w14:paraId="7454CC47" w14:textId="77777777" w:rsidR="00795E60" w:rsidRDefault="00F56376">
            <w:pPr>
              <w:pStyle w:val="Tabellcell"/>
              <w:widowControl w:val="0"/>
            </w:pPr>
            <w:r>
              <w:t xml:space="preserve">Målet är att de medel som ska användas för Kulturkraft är 1 500 000 kronor utifrån den budgetering som bygger på att samtliga </w:t>
            </w:r>
            <w:r>
              <w:t>kommuner använder sina tilldelade pengar för att stärka den professionella kulturen i skolan. Summan har succesivt ökat från att 585 641 kronor kunde fördelas 2023 till att 1 351 000 kronor fördelades 2025.</w:t>
            </w:r>
          </w:p>
        </w:tc>
      </w:tr>
    </w:tbl>
    <w:p w14:paraId="1AA14602" w14:textId="77777777" w:rsidR="00795E60" w:rsidRDefault="00F56376">
      <w:pPr>
        <w:pStyle w:val="Rubrik4"/>
      </w:pPr>
      <w:r>
        <w:lastRenderedPageBreak/>
        <w:t>Mål: Region Örebro län har stärkt förutsättningar för civilsamhället, folkbildningen och den sociala ekonomin.</w:t>
      </w:r>
    </w:p>
    <w:p w14:paraId="380784AE" w14:textId="77777777" w:rsidR="00795E60" w:rsidRDefault="00F56376">
      <w:pPr>
        <w:pStyle w:val="Texttitel"/>
      </w:pPr>
      <w:r>
        <w:t>Kommentar</w:t>
      </w:r>
    </w:p>
    <w:p w14:paraId="1379EBC5" w14:textId="77777777" w:rsidR="00795E60" w:rsidRDefault="00F56376">
      <w:pPr>
        <w:pStyle w:val="BodyText"/>
        <w:widowControl w:val="0"/>
      </w:pPr>
      <w:r>
        <w:t>Planen för civilsamhälle och social ekonomi är en utgångspunkt i arbetet. Den nuvarande planen gäller till och med 2025. Revideringen av handlingsplanen för civilsamhälle och social ekonomi har påbörjats.</w:t>
      </w:r>
    </w:p>
    <w:p w14:paraId="47568EE7" w14:textId="77777777" w:rsidR="00795E60" w:rsidRDefault="00F56376">
      <w:pPr>
        <w:pStyle w:val="BodyText"/>
        <w:widowControl w:val="0"/>
      </w:pPr>
      <w:r>
        <w:t xml:space="preserve">En viktig förutsättning för länets folkbildning och civilsamhället är det årliga regionala stödet till studieförbund och föreningar. Kulturnämndens stöd till föreningar och studieförbund uppgick 2025 till 38 359 361 kronor. </w:t>
      </w:r>
      <w:r>
        <w:t>Stödet fördelades till ett 80-tal organisationer inom bland annat idrott, kultur, det sociala fältet, ungdomsorganisationer, politiska ungdomsförbund och studieförbund. Jämfört med 2023 är detta en försämring av kulturnämndens stöd med nästan 10 procent när hänsyns tas till KPI. Årsarbetskrafterna inom studieförbunden har också minskat med nästan 24 procent under 2024. Tilläggas bör att detta till största del beror av neddragna statsbidrag.</w:t>
      </w:r>
    </w:p>
    <w:p w14:paraId="5EB4FF72" w14:textId="77777777" w:rsidR="00795E60" w:rsidRDefault="00F56376">
      <w:pPr>
        <w:pStyle w:val="BodyText"/>
        <w:widowControl w:val="0"/>
      </w:pPr>
      <w:r>
        <w:t>Samtidigt ökar intresset för regionala mötesplatser för civilsamhälle och social ekonomi. Anledningarna är flera. En förändring hos kommunerna är den nya socialtjänstlagen som innebär mer främjande och förebyggande arbete där samverkan med civilsamhället blir en viktig fråga.</w:t>
      </w:r>
    </w:p>
    <w:p w14:paraId="60B895D9" w14:textId="77777777" w:rsidR="00795E60" w:rsidRDefault="00F56376">
      <w:pPr>
        <w:pStyle w:val="BodyText"/>
        <w:widowControl w:val="0"/>
        <w:numPr>
          <w:ilvl w:val="0"/>
          <w:numId w:val="19"/>
        </w:numPr>
        <w:spacing w:after="0"/>
      </w:pPr>
      <w:r>
        <w:t>I nätverket Partnerskapet för sociala innovationer träffas offentlig verksamhet och civilsamhällsorganisationer. Genom ett nystartat ESF-projekt fördjupas det strategiska och praktiska samarbetet. Två organisationer från civilsamhället samordnar nätverket på uppdrag av Region Örebro län. 2025 har Stiftelsen Activa och Örebro föreningsråd detta uppdrag. Aktiviteter såsom samhällssamtal och gemensamma ansökningar skapar ökad samverkan mellan civilsamhälle och offentlig verksamhet kring samhällsutmaningar.</w:t>
      </w:r>
    </w:p>
    <w:p w14:paraId="24599314" w14:textId="77777777" w:rsidR="00795E60" w:rsidRDefault="00F56376">
      <w:pPr>
        <w:pStyle w:val="BodyText"/>
        <w:widowControl w:val="0"/>
        <w:numPr>
          <w:ilvl w:val="0"/>
          <w:numId w:val="19"/>
        </w:numPr>
        <w:spacing w:after="0"/>
      </w:pPr>
      <w:r>
        <w:t>Under våren 2025 startade det länsgemensamma projektet Samverkan för social innovation i Örebro län med finansiering från ESF (programområde E Social innovation) och Region Örebro län med syfte att fördjupa samverkan kring UVAS (unga vuxna som varken arbetar eller studerar) inom partnerskapet.</w:t>
      </w:r>
    </w:p>
    <w:p w14:paraId="1B6C39AA" w14:textId="77777777" w:rsidR="00795E60" w:rsidRDefault="00F56376">
      <w:pPr>
        <w:pStyle w:val="BodyText"/>
        <w:widowControl w:val="0"/>
        <w:numPr>
          <w:ilvl w:val="0"/>
          <w:numId w:val="19"/>
        </w:numPr>
      </w:pPr>
      <w:r>
        <w:t>Under året har Region Örebro län bjudit in till två möten för regionalt-kommunalt erfarenhetsutbyte kring stöd och samverkan med civilsamhället.</w:t>
      </w:r>
    </w:p>
    <w:p w14:paraId="21ECE89B" w14:textId="77777777" w:rsidR="00795E60" w:rsidRDefault="00F56376">
      <w:pPr>
        <w:pStyle w:val="BodyText"/>
        <w:widowControl w:val="0"/>
      </w:pPr>
      <w:r>
        <w:t>Region Örebro län har fortsatt fördjupat sitt samarbete med Mötesplats Social Innovation vid Malmö universitet på flera sätt. Det handlar både om att vara stöd åt ESF-rådet i genomförande Socialfondens Programområde E och att delta i utvecklingen av ett nationellt kompetenscenter om social innovation. Detta är en del i att bidra till och ta del av lärande på nationell nivå.</w:t>
      </w:r>
    </w:p>
    <w:p w14:paraId="18A43E7B" w14:textId="77777777" w:rsidR="00795E60" w:rsidRDefault="00F56376">
      <w:pPr>
        <w:pStyle w:val="BodyText"/>
        <w:widowControl w:val="0"/>
        <w:numPr>
          <w:ilvl w:val="0"/>
          <w:numId w:val="19"/>
        </w:numPr>
      </w:pPr>
      <w:r>
        <w:t>Bedömningen utifrån nämndens/verksamhetens redovisning, styrtal och uppdrag är att målet delvis har uppnåtts.</w:t>
      </w:r>
    </w:p>
    <w:tbl>
      <w:tblPr>
        <w:tblStyle w:val="Tabellrutnt"/>
        <w:tblOverlap w:val="never"/>
        <w:tblW w:w="0" w:type="auto"/>
        <w:tblLayout w:type="fixed"/>
        <w:tblLook w:val="04A0" w:firstRow="1" w:lastRow="0" w:firstColumn="1" w:lastColumn="0" w:noHBand="0" w:noVBand="1"/>
      </w:tblPr>
      <w:tblGrid>
        <w:gridCol w:w="4536"/>
        <w:gridCol w:w="1701"/>
        <w:gridCol w:w="1701"/>
        <w:gridCol w:w="1701"/>
      </w:tblGrid>
      <w:tr w:rsidR="00FC2AD8" w14:paraId="191EF6FF" w14:textId="77777777">
        <w:trPr>
          <w:cantSplit w:val="0"/>
          <w:tblHeader/>
        </w:trPr>
        <w:tc>
          <w:tcPr>
            <w:tcW w:w="4536" w:type="dxa"/>
            <w:tcBorders>
              <w:top w:val="single" w:sz="4" w:space="0" w:color="auto"/>
              <w:left w:val="nil"/>
              <w:bottom w:val="single" w:sz="4" w:space="0" w:color="auto"/>
              <w:right w:val="nil"/>
            </w:tcBorders>
            <w:shd w:val="clear" w:color="auto" w:fill="E1E9F2"/>
            <w:vAlign w:val="center"/>
          </w:tcPr>
          <w:p w14:paraId="6FFDA2B0" w14:textId="77777777" w:rsidR="00795E60" w:rsidRDefault="00F56376">
            <w:pPr>
              <w:pStyle w:val="Tabellcell"/>
            </w:pPr>
            <w:r>
              <w:rPr>
                <w:b/>
              </w:rPr>
              <w:t>Styrtal</w:t>
            </w:r>
          </w:p>
        </w:tc>
        <w:tc>
          <w:tcPr>
            <w:tcW w:w="1701" w:type="dxa"/>
            <w:tcBorders>
              <w:top w:val="single" w:sz="4" w:space="0" w:color="auto"/>
              <w:left w:val="nil"/>
              <w:bottom w:val="single" w:sz="4" w:space="0" w:color="auto"/>
              <w:right w:val="nil"/>
            </w:tcBorders>
            <w:shd w:val="clear" w:color="auto" w:fill="E1E9F2"/>
            <w:vAlign w:val="center"/>
          </w:tcPr>
          <w:p w14:paraId="70572801" w14:textId="77777777" w:rsidR="00795E60" w:rsidRDefault="00F56376">
            <w:pPr>
              <w:pStyle w:val="Tabellcell"/>
              <w:jc w:val="center"/>
            </w:pPr>
            <w:r>
              <w:rPr>
                <w:b/>
              </w:rPr>
              <w:t>Utfall</w:t>
            </w:r>
          </w:p>
        </w:tc>
        <w:tc>
          <w:tcPr>
            <w:tcW w:w="1701" w:type="dxa"/>
            <w:tcBorders>
              <w:top w:val="single" w:sz="4" w:space="0" w:color="auto"/>
              <w:left w:val="nil"/>
              <w:bottom w:val="single" w:sz="4" w:space="0" w:color="auto"/>
              <w:right w:val="nil"/>
            </w:tcBorders>
            <w:shd w:val="clear" w:color="auto" w:fill="E1E9F2"/>
            <w:vAlign w:val="center"/>
          </w:tcPr>
          <w:p w14:paraId="5AA6A81F" w14:textId="77777777" w:rsidR="00795E60" w:rsidRDefault="00F56376">
            <w:pPr>
              <w:pStyle w:val="Tabellcell"/>
              <w:jc w:val="center"/>
            </w:pPr>
            <w:r>
              <w:rPr>
                <w:b/>
              </w:rPr>
              <w:t>Årets målvärde</w:t>
            </w:r>
          </w:p>
        </w:tc>
        <w:tc>
          <w:tcPr>
            <w:tcW w:w="1701" w:type="dxa"/>
            <w:tcBorders>
              <w:top w:val="single" w:sz="4" w:space="0" w:color="auto"/>
              <w:left w:val="nil"/>
              <w:bottom w:val="single" w:sz="4" w:space="0" w:color="auto"/>
              <w:right w:val="nil"/>
            </w:tcBorders>
            <w:shd w:val="clear" w:color="auto" w:fill="E1E9F2"/>
            <w:vAlign w:val="center"/>
          </w:tcPr>
          <w:p w14:paraId="468C8D8B" w14:textId="77777777" w:rsidR="00795E60" w:rsidRDefault="00F56376">
            <w:pPr>
              <w:pStyle w:val="Tabellcell"/>
              <w:jc w:val="center"/>
            </w:pPr>
            <w:r>
              <w:rPr>
                <w:b/>
              </w:rPr>
              <w:t>Långsiktigt målvärde</w:t>
            </w:r>
          </w:p>
        </w:tc>
      </w:tr>
      <w:tr w:rsidR="00FC2AD8" w14:paraId="7ECBE710" w14:textId="77777777">
        <w:trPr>
          <w:cantSplit w:val="0"/>
        </w:trPr>
        <w:tc>
          <w:tcPr>
            <w:tcW w:w="4536" w:type="dxa"/>
            <w:tcBorders>
              <w:top w:val="single" w:sz="4" w:space="0" w:color="auto"/>
              <w:left w:val="nil"/>
              <w:bottom w:val="nil"/>
              <w:right w:val="nil"/>
            </w:tcBorders>
            <w:shd w:val="clear" w:color="auto" w:fill="FFFFFF"/>
          </w:tcPr>
          <w:p w14:paraId="53F664E2" w14:textId="77777777" w:rsidR="00795E60" w:rsidRDefault="00F56376">
            <w:pPr>
              <w:pStyle w:val="Tabellcell"/>
            </w:pPr>
            <w:r>
              <w:rPr>
                <w:b/>
              </w:rPr>
              <w:t>En kvalitativ beskrivning av arbetet med Partnerskapet för sociala innovationer</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2E89208C" w14:textId="77777777" w:rsidR="00795E60" w:rsidRDefault="00795E60">
            <w:pPr>
              <w:pStyle w:val="Tabellcell"/>
              <w:jc w:val="center"/>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5DB26AA8" w14:textId="77777777" w:rsidR="00795E60" w:rsidRDefault="00795E60">
            <w:pPr>
              <w:pStyle w:val="Tabellcell"/>
              <w:jc w:val="center"/>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20B29A08" w14:textId="77777777" w:rsidR="00795E60" w:rsidRDefault="00795E60">
            <w:pPr>
              <w:pStyle w:val="Tabellcell"/>
              <w:jc w:val="center"/>
            </w:pPr>
          </w:p>
        </w:tc>
      </w:tr>
      <w:tr w:rsidR="00FC2AD8" w14:paraId="7CE5E707" w14:textId="77777777">
        <w:trPr>
          <w:cantSplit w:val="0"/>
        </w:trPr>
        <w:tc>
          <w:tcPr>
            <w:tcW w:w="9639" w:type="dxa"/>
            <w:gridSpan w:val="4"/>
            <w:tcBorders>
              <w:top w:val="nil"/>
              <w:left w:val="nil"/>
              <w:bottom w:val="single" w:sz="4" w:space="0" w:color="auto"/>
              <w:right w:val="nil"/>
            </w:tcBorders>
            <w:shd w:val="clear" w:color="auto" w:fill="FFFFFF"/>
          </w:tcPr>
          <w:p w14:paraId="6F6C5FEC" w14:textId="77777777" w:rsidR="00795E60" w:rsidRDefault="00F56376">
            <w:pPr>
              <w:pStyle w:val="Tabellcell"/>
              <w:widowControl w:val="0"/>
            </w:pPr>
            <w:r>
              <w:rPr>
                <w:b/>
                <w:i/>
              </w:rPr>
              <w:t>Kommentar</w:t>
            </w:r>
          </w:p>
          <w:p w14:paraId="2BA8DE8A" w14:textId="77777777" w:rsidR="00795E60" w:rsidRDefault="00F56376">
            <w:pPr>
              <w:pStyle w:val="Tabellcell"/>
              <w:widowControl w:val="0"/>
            </w:pPr>
            <w:r>
              <w:t xml:space="preserve">Under 2025 har Stiftelsen Activa och Örebro föreningsråd det praktiska samordningsansvaret att koordinera Partnerskapet för sociala innovationer. Kulturnämnden har avsatt särskilda medel för detta. Partnerskapets arbetsutskott träffas var tredje vecka, varvat fysiska och digitala möten. Uppdatering av partnerskapets verksamhetsplan och </w:t>
            </w:r>
            <w:r>
              <w:lastRenderedPageBreak/>
              <w:t>aktivitetslista sker löpande.</w:t>
            </w:r>
          </w:p>
          <w:p w14:paraId="086E2D14" w14:textId="77777777" w:rsidR="00795E60" w:rsidRDefault="00F56376">
            <w:pPr>
              <w:pStyle w:val="Tabellcell"/>
              <w:widowControl w:val="0"/>
            </w:pPr>
            <w:r>
              <w:t>Den externa aktiviteten Samhällssamtalet genomförs av Coompanion Mälardalen inom ramen för sitt ordinarie uppdrag i dialog med arbetsutskottet. Under året har två Samhällssamtal genomförts som del i projektet Samverkan för social innovation i Örebro län.</w:t>
            </w:r>
          </w:p>
          <w:p w14:paraId="05C3FCAF" w14:textId="77777777" w:rsidR="00795E60" w:rsidRDefault="00F56376">
            <w:pPr>
              <w:pStyle w:val="Tabellcell"/>
              <w:widowControl w:val="0"/>
            </w:pPr>
            <w:r>
              <w:t>Under våren har två stormöten inom partnerskapet genomförts. Stormötena är partnerskapets interna forum för erfarenhetsutbyte och verksamhetsutveckling.</w:t>
            </w:r>
          </w:p>
          <w:p w14:paraId="4AC183B0" w14:textId="77777777" w:rsidR="00795E60" w:rsidRDefault="00F56376">
            <w:pPr>
              <w:pStyle w:val="Tabellcell"/>
              <w:widowControl w:val="0"/>
            </w:pPr>
            <w:r>
              <w:t>Ett löpande arbete inom partnerskapet är arbete med gemensamma projektansökningar. Under våren har projektet Samverkan för social innovation startat, med finansiering av ESF programområde E och regionala 1:1-medel. Samverkanspartners i projektet är Örebro universitet, Örebro läns bildningsförbund, Stiftelsen Activa och Stiftelsen Fontänhuset Örebro. I projektet ingår också 5 kommuner (Askersund, Laxå, Lindesberg, Karlskoga och Örebro). Projektet handlar om att fördjupa samverkan inom partnerskapet genom att</w:t>
            </w:r>
            <w:r>
              <w:t xml:space="preserve"> tillsammans arbeta med frågan om unga som varken arbetar eller studerar.</w:t>
            </w:r>
          </w:p>
        </w:tc>
      </w:tr>
      <w:tr w:rsidR="00FC2AD8" w14:paraId="33A250A7" w14:textId="77777777">
        <w:trPr>
          <w:cantSplit w:val="0"/>
        </w:trPr>
        <w:tc>
          <w:tcPr>
            <w:tcW w:w="4536" w:type="dxa"/>
            <w:tcBorders>
              <w:top w:val="single" w:sz="4" w:space="0" w:color="auto"/>
              <w:left w:val="nil"/>
              <w:bottom w:val="nil"/>
              <w:right w:val="nil"/>
            </w:tcBorders>
            <w:shd w:val="clear" w:color="auto" w:fill="FFFFFF"/>
          </w:tcPr>
          <w:p w14:paraId="1ADCED8F" w14:textId="77777777" w:rsidR="00795E60" w:rsidRDefault="00F56376">
            <w:pPr>
              <w:pStyle w:val="Tabellcell"/>
            </w:pPr>
            <w:r>
              <w:rPr>
                <w:b/>
              </w:rPr>
              <w:lastRenderedPageBreak/>
              <w:t>En kvalitativ beskrivning av arbetet med att utveckla relevant data och statistik</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28923DB9" w14:textId="77777777" w:rsidR="00795E60" w:rsidRDefault="00795E60">
            <w:pPr>
              <w:pStyle w:val="Tabellcell"/>
              <w:jc w:val="center"/>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0D56B395" w14:textId="77777777" w:rsidR="00795E60" w:rsidRDefault="00795E60">
            <w:pPr>
              <w:pStyle w:val="Tabellcell"/>
              <w:jc w:val="center"/>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523418A5" w14:textId="77777777" w:rsidR="00795E60" w:rsidRDefault="00795E60">
            <w:pPr>
              <w:pStyle w:val="Tabellcell"/>
              <w:jc w:val="center"/>
            </w:pPr>
          </w:p>
        </w:tc>
      </w:tr>
      <w:tr w:rsidR="00FC2AD8" w14:paraId="4FC553D6" w14:textId="77777777">
        <w:trPr>
          <w:cantSplit w:val="0"/>
        </w:trPr>
        <w:tc>
          <w:tcPr>
            <w:tcW w:w="9639" w:type="dxa"/>
            <w:gridSpan w:val="4"/>
            <w:tcBorders>
              <w:top w:val="nil"/>
              <w:left w:val="nil"/>
              <w:bottom w:val="single" w:sz="4" w:space="0" w:color="auto"/>
              <w:right w:val="nil"/>
            </w:tcBorders>
            <w:shd w:val="clear" w:color="auto" w:fill="FFFFFF"/>
          </w:tcPr>
          <w:p w14:paraId="74FCE0EB" w14:textId="77777777" w:rsidR="00795E60" w:rsidRDefault="00F56376">
            <w:pPr>
              <w:pStyle w:val="Tabellcell"/>
              <w:widowControl w:val="0"/>
            </w:pPr>
            <w:r>
              <w:rPr>
                <w:b/>
                <w:i/>
              </w:rPr>
              <w:t>Kommentar</w:t>
            </w:r>
          </w:p>
          <w:p w14:paraId="244D97CD" w14:textId="77777777" w:rsidR="00795E60" w:rsidRDefault="00F56376">
            <w:pPr>
              <w:pStyle w:val="Tabellcell"/>
              <w:widowControl w:val="0"/>
            </w:pPr>
            <w:r>
              <w:t>Arbete med att ta fram regional statistik och data fortsätter i dialog med analytiker på Regional utvecking. Idag saknas officiella databaser med regionala och lokala data över civilsamhälle och social ekonomi. Stora delar av arbetet handlar därför om att identifiera och samordna tänkbara källor.</w:t>
            </w:r>
          </w:p>
        </w:tc>
      </w:tr>
      <w:tr w:rsidR="00FC2AD8" w14:paraId="27F80BE1" w14:textId="77777777">
        <w:trPr>
          <w:cantSplit w:val="0"/>
        </w:trPr>
        <w:tc>
          <w:tcPr>
            <w:tcW w:w="4536" w:type="dxa"/>
            <w:tcBorders>
              <w:top w:val="single" w:sz="4" w:space="0" w:color="auto"/>
              <w:left w:val="nil"/>
              <w:bottom w:val="nil"/>
              <w:right w:val="nil"/>
            </w:tcBorders>
            <w:shd w:val="clear" w:color="auto" w:fill="FFFFFF"/>
          </w:tcPr>
          <w:p w14:paraId="602E13B4" w14:textId="77777777" w:rsidR="00795E60" w:rsidRDefault="00F56376">
            <w:pPr>
              <w:pStyle w:val="Tabellcell"/>
            </w:pPr>
            <w:r>
              <w:rPr>
                <w:b/>
              </w:rPr>
              <w:t>En kvalitativ beskrivning av regional-kommunal samverkan</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62B6CDDC" w14:textId="77777777" w:rsidR="00795E60" w:rsidRDefault="00795E60">
            <w:pPr>
              <w:pStyle w:val="Tabellcell"/>
              <w:jc w:val="center"/>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1A04593A" w14:textId="77777777" w:rsidR="00795E60" w:rsidRDefault="00795E60">
            <w:pPr>
              <w:pStyle w:val="Tabellcell"/>
              <w:jc w:val="center"/>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33DFB38E" w14:textId="77777777" w:rsidR="00795E60" w:rsidRDefault="00795E60">
            <w:pPr>
              <w:pStyle w:val="Tabellcell"/>
              <w:jc w:val="center"/>
            </w:pPr>
          </w:p>
        </w:tc>
      </w:tr>
      <w:tr w:rsidR="00FC2AD8" w14:paraId="02DED07B" w14:textId="77777777">
        <w:trPr>
          <w:cantSplit w:val="0"/>
        </w:trPr>
        <w:tc>
          <w:tcPr>
            <w:tcW w:w="9639" w:type="dxa"/>
            <w:gridSpan w:val="4"/>
            <w:tcBorders>
              <w:top w:val="nil"/>
              <w:left w:val="nil"/>
              <w:bottom w:val="single" w:sz="4" w:space="0" w:color="auto"/>
              <w:right w:val="nil"/>
            </w:tcBorders>
            <w:shd w:val="clear" w:color="auto" w:fill="FFFFFF"/>
          </w:tcPr>
          <w:p w14:paraId="71EC808A" w14:textId="77777777" w:rsidR="00795E60" w:rsidRDefault="00F56376">
            <w:pPr>
              <w:pStyle w:val="Tabellcell"/>
              <w:widowControl w:val="0"/>
            </w:pPr>
            <w:r>
              <w:rPr>
                <w:b/>
                <w:i/>
              </w:rPr>
              <w:t>Kommentar</w:t>
            </w:r>
          </w:p>
          <w:p w14:paraId="190C2B1E" w14:textId="77777777" w:rsidR="00795E60" w:rsidRDefault="00F56376">
            <w:pPr>
              <w:pStyle w:val="Tabellcell"/>
              <w:widowControl w:val="0"/>
            </w:pPr>
            <w:r>
              <w:t xml:space="preserve">Under året har Region Örebro län bjudit in till två möten för regionalt-kommunalt erfarenhetsutbyte och stärkt samordning mellan </w:t>
            </w:r>
            <w:r>
              <w:t>civilsamhälle och social ekonomi. Anledningen är det ökade intresset att samverka kring samhällsutmaningar. Under höstens möte lyftes frågor upphandling av tjänster och service från civilsamhället. På dessa träffar deltar tjänstepersoner från olika förvaltningar och verksamheter, vilket synliggör att civilsamhällsfrågorna är relevanta för många delar inom offentlig verksamhet.</w:t>
            </w:r>
          </w:p>
        </w:tc>
      </w:tr>
      <w:tr w:rsidR="00FC2AD8" w14:paraId="304C3B71" w14:textId="77777777">
        <w:trPr>
          <w:cantSplit w:val="0"/>
        </w:trPr>
        <w:tc>
          <w:tcPr>
            <w:tcW w:w="4536" w:type="dxa"/>
            <w:tcBorders>
              <w:top w:val="single" w:sz="4" w:space="0" w:color="auto"/>
              <w:left w:val="nil"/>
              <w:bottom w:val="nil"/>
              <w:right w:val="nil"/>
            </w:tcBorders>
            <w:shd w:val="clear" w:color="auto" w:fill="FFFFFF"/>
          </w:tcPr>
          <w:p w14:paraId="38F0A319" w14:textId="77777777" w:rsidR="00795E60" w:rsidRDefault="00F56376">
            <w:pPr>
              <w:pStyle w:val="Tabellcell"/>
            </w:pPr>
            <w:r>
              <w:rPr>
                <w:b/>
              </w:rPr>
              <w:t>Fördelning av medel till studieförbund och föreningar (Målvärdet är 2023 års värde efter indexuppräkning)</w:t>
            </w:r>
          </w:p>
        </w:tc>
        <w:tc>
          <w:tcPr>
            <w:tcW w:w="1701" w:type="dxa"/>
            <w:tcBorders>
              <w:top w:val="single" w:sz="4" w:space="0" w:color="auto"/>
              <w:left w:val="nil"/>
              <w:bottom w:val="nil"/>
              <w:right w:val="nil"/>
            </w:tcBorders>
            <w:shd w:val="clear" w:color="auto" w:fill="FFFFFF"/>
          </w:tcPr>
          <w:p w14:paraId="02ADDA91" w14:textId="77777777" w:rsidR="00795E60" w:rsidRDefault="00F56376">
            <w:pPr>
              <w:pStyle w:val="Tabellcell"/>
              <w:jc w:val="center"/>
            </w:pPr>
            <w:r>
              <w:t>38 359 361 kr</w:t>
            </w:r>
          </w:p>
        </w:tc>
        <w:tc>
          <w:tcPr>
            <w:tcW w:w="1701" w:type="dxa"/>
            <w:tcBorders>
              <w:top w:val="single" w:sz="4" w:space="0" w:color="auto"/>
              <w:left w:val="nil"/>
              <w:bottom w:val="nil"/>
              <w:right w:val="nil"/>
            </w:tcBorders>
            <w:shd w:val="clear" w:color="auto" w:fill="FFFFFF"/>
          </w:tcPr>
          <w:p w14:paraId="62A6A70B" w14:textId="77777777" w:rsidR="00795E60" w:rsidRDefault="00F56376">
            <w:pPr>
              <w:pStyle w:val="Tabellcell"/>
              <w:jc w:val="center"/>
            </w:pPr>
            <w:r>
              <w:t>41 988 517</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2E633DF2" w14:textId="77777777" w:rsidR="00795E60" w:rsidRDefault="00795E60">
            <w:pPr>
              <w:pStyle w:val="Tabellcell"/>
              <w:jc w:val="center"/>
            </w:pPr>
          </w:p>
        </w:tc>
      </w:tr>
      <w:tr w:rsidR="00FC2AD8" w14:paraId="4A0116E7" w14:textId="77777777">
        <w:trPr>
          <w:cantSplit w:val="0"/>
        </w:trPr>
        <w:tc>
          <w:tcPr>
            <w:tcW w:w="9639" w:type="dxa"/>
            <w:gridSpan w:val="4"/>
            <w:tcBorders>
              <w:top w:val="nil"/>
              <w:left w:val="nil"/>
              <w:bottom w:val="single" w:sz="4" w:space="0" w:color="auto"/>
              <w:right w:val="nil"/>
            </w:tcBorders>
            <w:shd w:val="clear" w:color="auto" w:fill="FFFFFF"/>
          </w:tcPr>
          <w:p w14:paraId="77911F4F" w14:textId="77777777" w:rsidR="00795E60" w:rsidRDefault="00F56376">
            <w:pPr>
              <w:pStyle w:val="Tabellcell"/>
              <w:widowControl w:val="0"/>
            </w:pPr>
            <w:r>
              <w:rPr>
                <w:b/>
                <w:i/>
              </w:rPr>
              <w:t>Kommentar</w:t>
            </w:r>
          </w:p>
          <w:p w14:paraId="156B21EC" w14:textId="77777777" w:rsidR="00795E60" w:rsidRDefault="00F56376">
            <w:pPr>
              <w:pStyle w:val="Tabellcell"/>
              <w:widowControl w:val="0"/>
            </w:pPr>
            <w:r>
              <w:t>Fördelningen av medel till studieförbund och föreningar 2025 är lägre än de som fördelades 2023 efter att hänsyn har tagits till inflationen (KPI). Neddragningar genomfördes även 2024.</w:t>
            </w:r>
          </w:p>
        </w:tc>
      </w:tr>
      <w:tr w:rsidR="00FC2AD8" w14:paraId="53D01625" w14:textId="77777777">
        <w:trPr>
          <w:cantSplit w:val="0"/>
        </w:trPr>
        <w:tc>
          <w:tcPr>
            <w:tcW w:w="4536" w:type="dxa"/>
            <w:tcBorders>
              <w:top w:val="single" w:sz="4" w:space="0" w:color="auto"/>
              <w:left w:val="nil"/>
              <w:bottom w:val="nil"/>
              <w:right w:val="nil"/>
            </w:tcBorders>
            <w:shd w:val="clear" w:color="auto" w:fill="FFFFFF"/>
          </w:tcPr>
          <w:p w14:paraId="26D8704A" w14:textId="77777777" w:rsidR="00795E60" w:rsidRDefault="00F56376">
            <w:pPr>
              <w:pStyle w:val="Tabellcell"/>
            </w:pPr>
            <w:r>
              <w:rPr>
                <w:b/>
              </w:rPr>
              <w:t>Årsarbetskrafter tillsvidareanställda inom studieförbunden i länet (Målvärde i paritet med 2023)</w:t>
            </w:r>
          </w:p>
        </w:tc>
        <w:tc>
          <w:tcPr>
            <w:tcW w:w="1701" w:type="dxa"/>
            <w:tcBorders>
              <w:top w:val="single" w:sz="4" w:space="0" w:color="auto"/>
              <w:left w:val="nil"/>
              <w:bottom w:val="nil"/>
              <w:right w:val="nil"/>
            </w:tcBorders>
            <w:shd w:val="clear" w:color="auto" w:fill="FFFFFF"/>
          </w:tcPr>
          <w:p w14:paraId="58588E97" w14:textId="77777777" w:rsidR="00795E60" w:rsidRDefault="00F56376">
            <w:pPr>
              <w:pStyle w:val="Tabellcell"/>
              <w:jc w:val="center"/>
            </w:pPr>
            <w:r>
              <w:t>87,3 st</w:t>
            </w:r>
          </w:p>
        </w:tc>
        <w:tc>
          <w:tcPr>
            <w:tcW w:w="1701" w:type="dxa"/>
            <w:tcBorders>
              <w:top w:val="single" w:sz="4" w:space="0" w:color="auto"/>
              <w:left w:val="nil"/>
              <w:bottom w:val="nil"/>
              <w:right w:val="nil"/>
            </w:tcBorders>
            <w:shd w:val="clear" w:color="auto" w:fill="FFFFFF"/>
          </w:tcPr>
          <w:p w14:paraId="58630A2D" w14:textId="77777777" w:rsidR="00795E60" w:rsidRDefault="00F56376">
            <w:pPr>
              <w:pStyle w:val="Tabellcell"/>
              <w:jc w:val="center"/>
            </w:pPr>
            <w:r>
              <w:t>114,4 st</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6A8A3996" w14:textId="77777777" w:rsidR="00795E60" w:rsidRDefault="00795E60">
            <w:pPr>
              <w:pStyle w:val="Tabellcell"/>
              <w:jc w:val="center"/>
            </w:pPr>
          </w:p>
        </w:tc>
      </w:tr>
      <w:tr w:rsidR="00FC2AD8" w14:paraId="619064EE" w14:textId="77777777">
        <w:trPr>
          <w:cantSplit w:val="0"/>
        </w:trPr>
        <w:tc>
          <w:tcPr>
            <w:tcW w:w="9639" w:type="dxa"/>
            <w:gridSpan w:val="4"/>
            <w:tcBorders>
              <w:top w:val="nil"/>
              <w:left w:val="nil"/>
              <w:bottom w:val="single" w:sz="4" w:space="0" w:color="auto"/>
              <w:right w:val="nil"/>
            </w:tcBorders>
            <w:shd w:val="clear" w:color="auto" w:fill="FFFFFF"/>
          </w:tcPr>
          <w:p w14:paraId="70EE5D6F" w14:textId="77777777" w:rsidR="00795E60" w:rsidRDefault="00F56376">
            <w:pPr>
              <w:pStyle w:val="Tabellcell"/>
              <w:widowControl w:val="0"/>
            </w:pPr>
            <w:r>
              <w:rPr>
                <w:b/>
                <w:i/>
              </w:rPr>
              <w:t>Kommentar</w:t>
            </w:r>
          </w:p>
          <w:p w14:paraId="03835CEB" w14:textId="77777777" w:rsidR="00795E60" w:rsidRDefault="00F56376">
            <w:pPr>
              <w:pStyle w:val="Tabellcell"/>
              <w:widowControl w:val="0"/>
            </w:pPr>
            <w:r>
              <w:t>Antalet årsarbetskrafter av tillsvidareanställda inom studieförbunden i länet har minskat från 114,4 år 2023 till 87,3 år 2024.</w:t>
            </w:r>
          </w:p>
        </w:tc>
      </w:tr>
      <w:tr w:rsidR="00FC2AD8" w14:paraId="69A14433" w14:textId="77777777">
        <w:trPr>
          <w:cantSplit w:val="0"/>
        </w:trPr>
        <w:tc>
          <w:tcPr>
            <w:tcW w:w="4536" w:type="dxa"/>
            <w:tcBorders>
              <w:top w:val="single" w:sz="4" w:space="0" w:color="auto"/>
              <w:left w:val="nil"/>
              <w:bottom w:val="nil"/>
              <w:right w:val="nil"/>
            </w:tcBorders>
            <w:shd w:val="clear" w:color="auto" w:fill="FFFFFF"/>
          </w:tcPr>
          <w:p w14:paraId="7B7CFC30" w14:textId="77777777" w:rsidR="00795E60" w:rsidRDefault="00F56376">
            <w:pPr>
              <w:pStyle w:val="Tabellcell"/>
            </w:pPr>
            <w:r>
              <w:rPr>
                <w:b/>
              </w:rPr>
              <w:t xml:space="preserve">Antal unika deltagare i studieförbundens </w:t>
            </w:r>
            <w:r>
              <w:rPr>
                <w:b/>
              </w:rPr>
              <w:t>studiecirklar och annan folkbildning (Målvärde i paritet med 2023)</w:t>
            </w:r>
          </w:p>
        </w:tc>
        <w:tc>
          <w:tcPr>
            <w:tcW w:w="1701" w:type="dxa"/>
            <w:tcBorders>
              <w:top w:val="single" w:sz="4" w:space="0" w:color="auto"/>
              <w:left w:val="nil"/>
              <w:bottom w:val="nil"/>
              <w:right w:val="nil"/>
            </w:tcBorders>
            <w:shd w:val="clear" w:color="auto" w:fill="FFFFFF"/>
          </w:tcPr>
          <w:p w14:paraId="04E3B5B4" w14:textId="77777777" w:rsidR="00795E60" w:rsidRDefault="00F56376">
            <w:pPr>
              <w:pStyle w:val="Tabellcell"/>
              <w:jc w:val="center"/>
            </w:pPr>
            <w:r>
              <w:t>21 371 st</w:t>
            </w:r>
          </w:p>
        </w:tc>
        <w:tc>
          <w:tcPr>
            <w:tcW w:w="1701" w:type="dxa"/>
            <w:tcBorders>
              <w:top w:val="single" w:sz="4" w:space="0" w:color="auto"/>
              <w:left w:val="nil"/>
              <w:bottom w:val="nil"/>
              <w:right w:val="nil"/>
            </w:tcBorders>
            <w:shd w:val="clear" w:color="auto" w:fill="FFFFFF"/>
          </w:tcPr>
          <w:p w14:paraId="2EBE5C09" w14:textId="77777777" w:rsidR="00795E60" w:rsidRDefault="00F56376">
            <w:pPr>
              <w:pStyle w:val="Tabellcell"/>
              <w:jc w:val="center"/>
            </w:pPr>
            <w:r>
              <w:t>23 450 st</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57DD8E19" w14:textId="77777777" w:rsidR="00795E60" w:rsidRDefault="00795E60">
            <w:pPr>
              <w:pStyle w:val="Tabellcell"/>
              <w:jc w:val="center"/>
            </w:pPr>
          </w:p>
        </w:tc>
      </w:tr>
      <w:tr w:rsidR="00FC2AD8" w14:paraId="38287FCC" w14:textId="77777777">
        <w:trPr>
          <w:cantSplit w:val="0"/>
        </w:trPr>
        <w:tc>
          <w:tcPr>
            <w:tcW w:w="9639" w:type="dxa"/>
            <w:gridSpan w:val="4"/>
            <w:tcBorders>
              <w:top w:val="nil"/>
              <w:left w:val="nil"/>
              <w:bottom w:val="single" w:sz="4" w:space="0" w:color="auto"/>
              <w:right w:val="nil"/>
            </w:tcBorders>
            <w:shd w:val="clear" w:color="auto" w:fill="FFFFFF"/>
          </w:tcPr>
          <w:p w14:paraId="6AC240AD" w14:textId="77777777" w:rsidR="00795E60" w:rsidRDefault="00F56376">
            <w:pPr>
              <w:pStyle w:val="Tabellcell"/>
              <w:widowControl w:val="0"/>
            </w:pPr>
            <w:r>
              <w:rPr>
                <w:b/>
                <w:i/>
              </w:rPr>
              <w:t>Kommentar</w:t>
            </w:r>
          </w:p>
          <w:p w14:paraId="3938191F" w14:textId="77777777" w:rsidR="00795E60" w:rsidRDefault="00F56376">
            <w:pPr>
              <w:pStyle w:val="Tabellcell"/>
              <w:widowControl w:val="0"/>
            </w:pPr>
            <w:r>
              <w:t>Antalet unika deltagare i studieförbundens studiecirklar och annan folkbildning har minskat från 23 450 år 2023 till 21371 år 2024.</w:t>
            </w:r>
          </w:p>
        </w:tc>
      </w:tr>
      <w:tr w:rsidR="00FC2AD8" w14:paraId="471B556E" w14:textId="77777777">
        <w:trPr>
          <w:cantSplit w:val="0"/>
        </w:trPr>
        <w:tc>
          <w:tcPr>
            <w:tcW w:w="4536" w:type="dxa"/>
            <w:tcBorders>
              <w:top w:val="single" w:sz="4" w:space="0" w:color="auto"/>
              <w:left w:val="nil"/>
              <w:bottom w:val="nil"/>
              <w:right w:val="nil"/>
            </w:tcBorders>
            <w:shd w:val="clear" w:color="auto" w:fill="FFFFFF"/>
          </w:tcPr>
          <w:p w14:paraId="04BB7E2B" w14:textId="77777777" w:rsidR="00795E60" w:rsidRDefault="00F56376">
            <w:pPr>
              <w:pStyle w:val="Tabellcell"/>
            </w:pPr>
            <w:r>
              <w:rPr>
                <w:b/>
              </w:rPr>
              <w:t>Antal sysselsatta inom civilsamhället i länet (Målvärde i paritet med 2023)</w:t>
            </w:r>
          </w:p>
        </w:tc>
        <w:tc>
          <w:tcPr>
            <w:tcW w:w="1701" w:type="dxa"/>
            <w:tcBorders>
              <w:top w:val="single" w:sz="4" w:space="0" w:color="auto"/>
              <w:left w:val="nil"/>
              <w:bottom w:val="nil"/>
              <w:right w:val="nil"/>
            </w:tcBorders>
            <w:shd w:val="clear" w:color="auto" w:fill="FFFFFF"/>
          </w:tcPr>
          <w:p w14:paraId="27E3EEEC" w14:textId="77777777" w:rsidR="00795E60" w:rsidRDefault="00F56376">
            <w:pPr>
              <w:pStyle w:val="Tabellcell"/>
              <w:jc w:val="center"/>
            </w:pPr>
            <w:r>
              <w:t>4 082 st</w:t>
            </w:r>
          </w:p>
        </w:tc>
        <w:tc>
          <w:tcPr>
            <w:tcW w:w="1701" w:type="dxa"/>
            <w:tcBorders>
              <w:top w:val="single" w:sz="4" w:space="0" w:color="auto"/>
              <w:left w:val="nil"/>
              <w:bottom w:val="nil"/>
              <w:right w:val="nil"/>
            </w:tcBorders>
            <w:shd w:val="clear" w:color="auto" w:fill="FFFFFF"/>
          </w:tcPr>
          <w:p w14:paraId="6E518928" w14:textId="77777777" w:rsidR="00795E60" w:rsidRDefault="00F56376">
            <w:pPr>
              <w:pStyle w:val="Tabellcell"/>
              <w:jc w:val="center"/>
            </w:pPr>
            <w:r>
              <w:t>4 082 st</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4907B0ED" w14:textId="77777777" w:rsidR="00795E60" w:rsidRDefault="00795E60">
            <w:pPr>
              <w:pStyle w:val="Tabellcell"/>
              <w:jc w:val="center"/>
            </w:pPr>
          </w:p>
        </w:tc>
      </w:tr>
      <w:tr w:rsidR="00FC2AD8" w14:paraId="553895A3" w14:textId="77777777">
        <w:trPr>
          <w:cantSplit w:val="0"/>
        </w:trPr>
        <w:tc>
          <w:tcPr>
            <w:tcW w:w="9639" w:type="dxa"/>
            <w:gridSpan w:val="4"/>
            <w:tcBorders>
              <w:top w:val="nil"/>
              <w:left w:val="nil"/>
              <w:bottom w:val="single" w:sz="4" w:space="0" w:color="auto"/>
              <w:right w:val="nil"/>
            </w:tcBorders>
            <w:shd w:val="clear" w:color="auto" w:fill="FFFFFF"/>
          </w:tcPr>
          <w:p w14:paraId="7EA934EC" w14:textId="77777777" w:rsidR="00795E60" w:rsidRDefault="00F56376">
            <w:pPr>
              <w:pStyle w:val="Tabellcell"/>
              <w:widowControl w:val="0"/>
            </w:pPr>
            <w:r>
              <w:rPr>
                <w:b/>
                <w:i/>
              </w:rPr>
              <w:t>Kommentar</w:t>
            </w:r>
          </w:p>
          <w:p w14:paraId="3C604B61" w14:textId="77777777" w:rsidR="00795E60" w:rsidRDefault="00F56376">
            <w:pPr>
              <w:pStyle w:val="Tabellcell"/>
              <w:widowControl w:val="0"/>
            </w:pPr>
            <w:r>
              <w:lastRenderedPageBreak/>
              <w:t xml:space="preserve">Senaste </w:t>
            </w:r>
            <w:r>
              <w:t>kända värdet gäller 2023 och då 4082 var sysselsatta inom civilsamhället. Värdet för 2022 var 4020.</w:t>
            </w:r>
          </w:p>
        </w:tc>
      </w:tr>
    </w:tbl>
    <w:p w14:paraId="76D18067" w14:textId="77777777" w:rsidR="00795E60" w:rsidRDefault="00F56376">
      <w:pPr>
        <w:pStyle w:val="Rubrik4"/>
      </w:pPr>
      <w:r>
        <w:lastRenderedPageBreak/>
        <w:t>Mål: Region Örebro län har internationaliserat arbetet kring civilsamhället och social ekonomi genom att vara aktiva i gemensam kunskapsutveckling och erfarenhetsutbyte samt i att ta del av resurser på EU-nivå.</w:t>
      </w:r>
    </w:p>
    <w:p w14:paraId="5E37E8BA" w14:textId="77777777" w:rsidR="00795E60" w:rsidRDefault="00F56376">
      <w:pPr>
        <w:pStyle w:val="Texttitel"/>
      </w:pPr>
      <w:r>
        <w:t>Kommentar</w:t>
      </w:r>
    </w:p>
    <w:p w14:paraId="21E80469" w14:textId="77777777" w:rsidR="00795E60" w:rsidRDefault="00F56376">
      <w:pPr>
        <w:pStyle w:val="BodyText"/>
        <w:widowControl w:val="0"/>
      </w:pPr>
      <w:r>
        <w:t xml:space="preserve">Region Örebro län deltar som svensk part i projektet Microfuture som startade under 2023. Övriga projektparter kommer från Rumänien, Italien, Slovenien och Frankrike. Projektet finansieras helt med externa medel (Interreg Europe samt 1:1-medel) och syftar till att stärka förutsättningarna för den sociala ekonomins mikrofinansiering (Mikrofonden). Under 2025 har Region Örebro län deltagit på två fysiska projektmöten i Slovenien respektive Rumänien samt flera digitala möten. Erfarenheter om mikrofinansiering </w:t>
      </w:r>
      <w:r>
        <w:t>från övriga parter hämtas hem och byggs in i revideringen av den regionala handlingsplanen för civilsamhälle och social ekonomi.</w:t>
      </w:r>
    </w:p>
    <w:p w14:paraId="5CFDE5A4" w14:textId="77777777" w:rsidR="00795E60" w:rsidRDefault="00F56376">
      <w:pPr>
        <w:pStyle w:val="BodyText"/>
        <w:widowControl w:val="0"/>
      </w:pPr>
      <w:r>
        <w:t>Region Örebro län har ingått i European Social Economy Regions (ESER), EU-kommissionens nätverk för regioner i Europa med intresse för social ekonomi till och med våren 2025. Nätverket avslutades på kommissionens initiativ. Region Örebro län ingår också som medlem i European Network of Cities and Regions for the Social Economy (REVES). Region Örebro län har också bidragit med föreläsning på en europeisk forskningskonferens om den sociala ekonomins betydelse på landsbygd. Erfarenhetsutbyte, lärande och proje</w:t>
      </w:r>
      <w:r>
        <w:t>ktutveckling stärks genom deltagande i REVES.</w:t>
      </w:r>
    </w:p>
    <w:p w14:paraId="135FB8F2" w14:textId="77777777" w:rsidR="00795E60" w:rsidRDefault="00F56376">
      <w:pPr>
        <w:pStyle w:val="BodyText"/>
        <w:widowControl w:val="0"/>
        <w:numPr>
          <w:ilvl w:val="0"/>
          <w:numId w:val="19"/>
        </w:numPr>
      </w:pPr>
      <w:r>
        <w:t>Bedömningen utifrån nämndens/verksamhetens redovisning, styrtal och uppdrag är att målet delvis har uppnåtts.</w:t>
      </w:r>
    </w:p>
    <w:tbl>
      <w:tblPr>
        <w:tblStyle w:val="Tabellrutnt"/>
        <w:tblOverlap w:val="never"/>
        <w:tblW w:w="0" w:type="auto"/>
        <w:tblLayout w:type="fixed"/>
        <w:tblLook w:val="04A0" w:firstRow="1" w:lastRow="0" w:firstColumn="1" w:lastColumn="0" w:noHBand="0" w:noVBand="1"/>
      </w:tblPr>
      <w:tblGrid>
        <w:gridCol w:w="4536"/>
        <w:gridCol w:w="1701"/>
        <w:gridCol w:w="1701"/>
        <w:gridCol w:w="1701"/>
      </w:tblGrid>
      <w:tr w:rsidR="00FC2AD8" w14:paraId="7A5AB6F1" w14:textId="77777777">
        <w:trPr>
          <w:cantSplit w:val="0"/>
          <w:tblHeader/>
        </w:trPr>
        <w:tc>
          <w:tcPr>
            <w:tcW w:w="4536" w:type="dxa"/>
            <w:tcBorders>
              <w:top w:val="single" w:sz="4" w:space="0" w:color="auto"/>
              <w:left w:val="nil"/>
              <w:bottom w:val="single" w:sz="4" w:space="0" w:color="auto"/>
              <w:right w:val="nil"/>
            </w:tcBorders>
            <w:shd w:val="clear" w:color="auto" w:fill="E1E9F2"/>
            <w:vAlign w:val="center"/>
          </w:tcPr>
          <w:p w14:paraId="5A46D2C3" w14:textId="77777777" w:rsidR="00795E60" w:rsidRDefault="00F56376">
            <w:pPr>
              <w:pStyle w:val="Tabellcell"/>
            </w:pPr>
            <w:r>
              <w:rPr>
                <w:b/>
              </w:rPr>
              <w:t>Styrtal</w:t>
            </w:r>
          </w:p>
        </w:tc>
        <w:tc>
          <w:tcPr>
            <w:tcW w:w="1701" w:type="dxa"/>
            <w:tcBorders>
              <w:top w:val="single" w:sz="4" w:space="0" w:color="auto"/>
              <w:left w:val="nil"/>
              <w:bottom w:val="single" w:sz="4" w:space="0" w:color="auto"/>
              <w:right w:val="nil"/>
            </w:tcBorders>
            <w:shd w:val="clear" w:color="auto" w:fill="E1E9F2"/>
            <w:vAlign w:val="center"/>
          </w:tcPr>
          <w:p w14:paraId="6A105B2E" w14:textId="77777777" w:rsidR="00795E60" w:rsidRDefault="00F56376">
            <w:pPr>
              <w:pStyle w:val="Tabellcell"/>
              <w:jc w:val="center"/>
            </w:pPr>
            <w:r>
              <w:rPr>
                <w:b/>
              </w:rPr>
              <w:t>Utfall</w:t>
            </w:r>
          </w:p>
        </w:tc>
        <w:tc>
          <w:tcPr>
            <w:tcW w:w="1701" w:type="dxa"/>
            <w:tcBorders>
              <w:top w:val="single" w:sz="4" w:space="0" w:color="auto"/>
              <w:left w:val="nil"/>
              <w:bottom w:val="single" w:sz="4" w:space="0" w:color="auto"/>
              <w:right w:val="nil"/>
            </w:tcBorders>
            <w:shd w:val="clear" w:color="auto" w:fill="E1E9F2"/>
            <w:vAlign w:val="center"/>
          </w:tcPr>
          <w:p w14:paraId="1086D379" w14:textId="77777777" w:rsidR="00795E60" w:rsidRDefault="00F56376">
            <w:pPr>
              <w:pStyle w:val="Tabellcell"/>
              <w:jc w:val="center"/>
            </w:pPr>
            <w:r>
              <w:rPr>
                <w:b/>
              </w:rPr>
              <w:t>Årets målvärde</w:t>
            </w:r>
          </w:p>
        </w:tc>
        <w:tc>
          <w:tcPr>
            <w:tcW w:w="1701" w:type="dxa"/>
            <w:tcBorders>
              <w:top w:val="single" w:sz="4" w:space="0" w:color="auto"/>
              <w:left w:val="nil"/>
              <w:bottom w:val="single" w:sz="4" w:space="0" w:color="auto"/>
              <w:right w:val="nil"/>
            </w:tcBorders>
            <w:shd w:val="clear" w:color="auto" w:fill="E1E9F2"/>
            <w:vAlign w:val="center"/>
          </w:tcPr>
          <w:p w14:paraId="1F6B81AE" w14:textId="77777777" w:rsidR="00795E60" w:rsidRDefault="00F56376">
            <w:pPr>
              <w:pStyle w:val="Tabellcell"/>
              <w:jc w:val="center"/>
            </w:pPr>
            <w:r>
              <w:rPr>
                <w:b/>
              </w:rPr>
              <w:t>Långsiktigt målvärde</w:t>
            </w:r>
          </w:p>
        </w:tc>
      </w:tr>
      <w:tr w:rsidR="00FC2AD8" w14:paraId="57103A19" w14:textId="77777777">
        <w:trPr>
          <w:cantSplit w:val="0"/>
        </w:trPr>
        <w:tc>
          <w:tcPr>
            <w:tcW w:w="4536" w:type="dxa"/>
            <w:tcBorders>
              <w:top w:val="single" w:sz="4" w:space="0" w:color="auto"/>
              <w:left w:val="nil"/>
              <w:bottom w:val="nil"/>
              <w:right w:val="nil"/>
            </w:tcBorders>
            <w:shd w:val="clear" w:color="auto" w:fill="FFFFFF"/>
          </w:tcPr>
          <w:p w14:paraId="05292760" w14:textId="77777777" w:rsidR="00795E60" w:rsidRDefault="00F56376">
            <w:pPr>
              <w:pStyle w:val="Tabellcell"/>
            </w:pPr>
            <w:r>
              <w:rPr>
                <w:b/>
              </w:rPr>
              <w:t>Kvalitativ beskrivning av deltagande i REVES och dess effekter</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16D8500A" w14:textId="77777777" w:rsidR="00795E60" w:rsidRDefault="00795E60">
            <w:pPr>
              <w:pStyle w:val="Tabellcell"/>
              <w:jc w:val="center"/>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03835206" w14:textId="77777777" w:rsidR="00795E60" w:rsidRDefault="00795E60">
            <w:pPr>
              <w:pStyle w:val="Tabellcell"/>
              <w:jc w:val="center"/>
            </w:pP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5FEE611B" w14:textId="77777777" w:rsidR="00795E60" w:rsidRDefault="00795E60">
            <w:pPr>
              <w:pStyle w:val="Tabellcell"/>
              <w:jc w:val="center"/>
            </w:pPr>
          </w:p>
        </w:tc>
      </w:tr>
      <w:tr w:rsidR="00FC2AD8" w14:paraId="03AFA850" w14:textId="77777777">
        <w:trPr>
          <w:cantSplit w:val="0"/>
        </w:trPr>
        <w:tc>
          <w:tcPr>
            <w:tcW w:w="9639" w:type="dxa"/>
            <w:gridSpan w:val="4"/>
            <w:tcBorders>
              <w:top w:val="nil"/>
              <w:left w:val="nil"/>
              <w:bottom w:val="single" w:sz="4" w:space="0" w:color="auto"/>
              <w:right w:val="nil"/>
            </w:tcBorders>
            <w:shd w:val="clear" w:color="auto" w:fill="FFFFFF"/>
          </w:tcPr>
          <w:p w14:paraId="2491C380" w14:textId="77777777" w:rsidR="00795E60" w:rsidRDefault="00F56376">
            <w:pPr>
              <w:pStyle w:val="Tabellcell"/>
              <w:widowControl w:val="0"/>
            </w:pPr>
            <w:r>
              <w:rPr>
                <w:b/>
                <w:i/>
              </w:rPr>
              <w:t>Kommentar</w:t>
            </w:r>
          </w:p>
          <w:p w14:paraId="0705C6FE" w14:textId="77777777" w:rsidR="00795E60" w:rsidRDefault="00F56376">
            <w:pPr>
              <w:pStyle w:val="Tabellcell"/>
              <w:widowControl w:val="0"/>
            </w:pPr>
            <w:r>
              <w:t xml:space="preserve">Region Örebro län deltar </w:t>
            </w:r>
            <w:r>
              <w:t>löpande i arbetet inom REVES och Region Örebro län ingår i styrelsen. Genom ett aktivt deltagande i REVES ges Region Örebro län stora möjligheter att dels bidra till den samlade och gemensamma kunskapen om social ekonomi inom EU och påverka frågornas utveckling på EU-nivå, dels hämta inspiration och kunskap från andra länder.</w:t>
            </w:r>
          </w:p>
        </w:tc>
      </w:tr>
      <w:tr w:rsidR="00FC2AD8" w14:paraId="3BB7958B" w14:textId="77777777">
        <w:trPr>
          <w:cantSplit w:val="0"/>
        </w:trPr>
        <w:tc>
          <w:tcPr>
            <w:tcW w:w="4536" w:type="dxa"/>
            <w:tcBorders>
              <w:top w:val="single" w:sz="4" w:space="0" w:color="auto"/>
              <w:left w:val="nil"/>
              <w:bottom w:val="nil"/>
              <w:right w:val="nil"/>
            </w:tcBorders>
            <w:shd w:val="clear" w:color="auto" w:fill="FFFFFF"/>
          </w:tcPr>
          <w:p w14:paraId="04D8B4B9" w14:textId="77777777" w:rsidR="00795E60" w:rsidRDefault="00F56376">
            <w:pPr>
              <w:pStyle w:val="Tabellcell"/>
            </w:pPr>
            <w:r>
              <w:rPr>
                <w:b/>
              </w:rPr>
              <w:t>Antal inlämnade ansökningar kopplat till transnationellt erfarenhetsutbyte</w:t>
            </w:r>
          </w:p>
        </w:tc>
        <w:tc>
          <w:tcPr>
            <w:tcW w:w="1701" w:type="dxa"/>
            <w:tcBorders>
              <w:top w:val="single" w:sz="4" w:space="0" w:color="auto"/>
              <w:left w:val="nil"/>
              <w:bottom w:val="nil"/>
              <w:right w:val="nil"/>
            </w:tcBorders>
            <w:shd w:val="clear" w:color="auto" w:fill="FFFFFF"/>
          </w:tcPr>
          <w:p w14:paraId="0899BE67" w14:textId="77777777" w:rsidR="00795E60" w:rsidRDefault="00F56376">
            <w:pPr>
              <w:pStyle w:val="Tabellcell"/>
              <w:jc w:val="center"/>
            </w:pPr>
            <w:r>
              <w:t>0 st</w:t>
            </w:r>
          </w:p>
        </w:tc>
        <w:tc>
          <w:tcPr>
            <w:tcW w:w="1701" w:type="dxa"/>
            <w:tcBorders>
              <w:top w:val="single" w:sz="4" w:space="0" w:color="auto"/>
              <w:left w:val="nil"/>
              <w:bottom w:val="nil"/>
              <w:right w:val="nil"/>
            </w:tcBorders>
            <w:shd w:val="clear" w:color="auto" w:fill="FFFFFF"/>
          </w:tcPr>
          <w:p w14:paraId="0D2A3ACE" w14:textId="77777777" w:rsidR="00795E60" w:rsidRDefault="00F56376">
            <w:pPr>
              <w:pStyle w:val="Tabellcell"/>
              <w:jc w:val="center"/>
            </w:pPr>
            <w:r>
              <w:t>1 st</w:t>
            </w:r>
          </w:p>
        </w:tc>
        <w:tc>
          <w:tcPr>
            <w:tcW w:w="1701" w:type="dxa"/>
            <w:tcBorders>
              <w:top w:val="single" w:sz="4" w:space="0" w:color="auto"/>
              <w:left w:val="nil"/>
              <w:bottom w:val="nil"/>
              <w:right w:val="nil"/>
            </w:tcBorders>
            <w:shd w:val="clear" w:color="auto" w:fill="FFFFFF"/>
          </w:tcPr>
          <w:p w14:paraId="281EABF5" w14:textId="77777777" w:rsidR="00795E60" w:rsidRDefault="00F56376">
            <w:pPr>
              <w:pStyle w:val="Tabellcell"/>
              <w:jc w:val="center"/>
            </w:pPr>
            <w:r>
              <w:t>1 st</w:t>
            </w:r>
          </w:p>
        </w:tc>
      </w:tr>
      <w:tr w:rsidR="00FC2AD8" w14:paraId="0B8A73A7" w14:textId="77777777">
        <w:trPr>
          <w:cantSplit w:val="0"/>
        </w:trPr>
        <w:tc>
          <w:tcPr>
            <w:tcW w:w="9639" w:type="dxa"/>
            <w:gridSpan w:val="4"/>
            <w:tcBorders>
              <w:top w:val="nil"/>
              <w:left w:val="nil"/>
              <w:bottom w:val="single" w:sz="4" w:space="0" w:color="auto"/>
              <w:right w:val="nil"/>
            </w:tcBorders>
            <w:shd w:val="clear" w:color="auto" w:fill="FFFFFF"/>
          </w:tcPr>
          <w:p w14:paraId="0CF0D08A" w14:textId="77777777" w:rsidR="00795E60" w:rsidRDefault="00F56376">
            <w:pPr>
              <w:pStyle w:val="Tabellcell"/>
              <w:widowControl w:val="0"/>
            </w:pPr>
            <w:r>
              <w:rPr>
                <w:b/>
                <w:i/>
              </w:rPr>
              <w:t>Kommentar</w:t>
            </w:r>
          </w:p>
          <w:p w14:paraId="0D7CE5D9" w14:textId="77777777" w:rsidR="00795E60" w:rsidRDefault="00F56376">
            <w:pPr>
              <w:pStyle w:val="Tabellcell"/>
              <w:widowControl w:val="0"/>
            </w:pPr>
            <w:r>
              <w:t>2024 lämnades fyra ansökningar in, vilket är långt över målvärdet.</w:t>
            </w:r>
          </w:p>
        </w:tc>
      </w:tr>
    </w:tbl>
    <w:p w14:paraId="59837B86" w14:textId="77777777" w:rsidR="00795E60" w:rsidRDefault="00F56376">
      <w:pPr>
        <w:pStyle w:val="Rubrik4"/>
      </w:pPr>
      <w:r>
        <w:t>Uppdrag: Nr 25. Att stärka förutsättningarna för Partnerskapet för sociala innovationer att verka som en regional mötesplats för aktörer inom civilsamhälle och social ekonomi.</w:t>
      </w:r>
    </w:p>
    <w:p w14:paraId="2426A3D1" w14:textId="77777777" w:rsidR="00795E60" w:rsidRDefault="00F56376">
      <w:pPr>
        <w:pStyle w:val="Texttitel"/>
      </w:pPr>
      <w:r>
        <w:t>Kommentar</w:t>
      </w:r>
    </w:p>
    <w:p w14:paraId="79673E1F" w14:textId="77777777" w:rsidR="00795E60" w:rsidRDefault="00F56376">
      <w:pPr>
        <w:pStyle w:val="BodyText"/>
        <w:widowControl w:val="0"/>
      </w:pPr>
      <w:r>
        <w:t xml:space="preserve">Under 2025 har Stiftelsen Activa och Örebro föreningsråd haft det praktiska samordningsansvaret att koordinera Partnerskapet för sociala innovationer. Kulturnämnden har avsatt särskilda medel för detta. </w:t>
      </w:r>
      <w:r>
        <w:lastRenderedPageBreak/>
        <w:t>Partnerskapets arbetsutskott träffas var tredje vecka, varvat fysiska och digitala möten.</w:t>
      </w:r>
    </w:p>
    <w:p w14:paraId="08C72A1E" w14:textId="77777777" w:rsidR="00795E60" w:rsidRDefault="00F56376">
      <w:pPr>
        <w:pStyle w:val="BodyText"/>
        <w:widowControl w:val="0"/>
      </w:pPr>
      <w:r>
        <w:t>Den externa aktiviteten Samhällssamtalet har genomförs av Coompanion Mälardalen inom ramen för sitt ordinarie uppdrag i dialog med arbetsutskottet. Under året har två Samhällssamtal genomförts som blir del projektet Samverkan för social innovation i Örebro län.</w:t>
      </w:r>
    </w:p>
    <w:p w14:paraId="5BA7884E" w14:textId="77777777" w:rsidR="00795E60" w:rsidRDefault="00F56376">
      <w:pPr>
        <w:pStyle w:val="BodyText"/>
        <w:widowControl w:val="0"/>
      </w:pPr>
      <w:r>
        <w:t>Under våren har två stormöten inom partnerskapet genomförts. Stormötena är partnerskapets interna forum för erfarenhetsutbyte och verksamhetsutveckling. Ett av stormötena hade temat Pengadagen och fokuserade på finansieringsfrågor för civilsamhälle och social ekonomi.</w:t>
      </w:r>
    </w:p>
    <w:p w14:paraId="4524F625" w14:textId="77777777" w:rsidR="00795E60" w:rsidRDefault="00F56376">
      <w:pPr>
        <w:pStyle w:val="BodyText"/>
        <w:widowControl w:val="0"/>
      </w:pPr>
      <w:r>
        <w:t>Ett löpande arbete inom partnerskapet är arbete med gemensamma projektansökningar. Under våren har projektet Samverkan för social innovation startat, med finansiering av ESF programområde E och regionala 1:1-medel. Samverkanspartners i projektet är Örebro universitet, Örebro läns bildningsförbund, Stiftelsen Activa och Stiftelsen Fontänhuset Örebro. I projektet ingår också 5 kommuner (Askersund, Laxå, Lindesberg, Karlskoga och Örebro). Projektet handlar om att fördjupa samverkan inom partnerskapet genom att</w:t>
      </w:r>
      <w:r>
        <w:t xml:space="preserve"> tillsammans arbeta med frågan om unga som varken arbetar eller studerar.</w:t>
      </w:r>
    </w:p>
    <w:p w14:paraId="3603D32B" w14:textId="77777777" w:rsidR="00795E60" w:rsidRDefault="00F56376">
      <w:pPr>
        <w:pStyle w:val="BodyText"/>
        <w:widowControl w:val="0"/>
        <w:numPr>
          <w:ilvl w:val="0"/>
          <w:numId w:val="19"/>
        </w:numPr>
      </w:pPr>
      <w:r>
        <w:t>Uppdraget är flerårigt och uppdragets del av innevarande år har genomförts.</w:t>
      </w:r>
    </w:p>
    <w:p w14:paraId="4BC8D769" w14:textId="77777777" w:rsidR="00795E60" w:rsidRDefault="00F56376">
      <w:pPr>
        <w:pStyle w:val="Rubrik4"/>
      </w:pPr>
      <w:r>
        <w:t>Uppdrag: Nr 26. Att fortsätta arbetet för att säkra tillgången till kultur i hela länet.</w:t>
      </w:r>
    </w:p>
    <w:p w14:paraId="72FCB939" w14:textId="77777777" w:rsidR="00795E60" w:rsidRDefault="00F56376">
      <w:pPr>
        <w:pStyle w:val="Texttitel"/>
      </w:pPr>
      <w:r>
        <w:t>Kommentar</w:t>
      </w:r>
    </w:p>
    <w:p w14:paraId="645AB6FE" w14:textId="77777777" w:rsidR="00795E60" w:rsidRDefault="00F56376">
      <w:pPr>
        <w:pStyle w:val="BodyText"/>
        <w:widowControl w:val="0"/>
      </w:pPr>
      <w:r>
        <w:t>Fördelningen av medel till aktörer inom kultursamverkansmodellen, aktörer med regionala verksamhetsmedel kultur samt till folkbildning och kulturföreningar är Region Örebro läns främsta sätt att säkra tillgången till kultur i hela länet. Statistik från den nationella kulturdatabasen visar att cirka hälften av de regionalt finansierade verksamheternas publika aktiviteter genomfördes utanför Örebro kommun under 2024. Detta beror i stor utsträckning på att flera av verksamheterna är lokaliserade i olika kommun</w:t>
      </w:r>
      <w:r>
        <w:t>er i länet.</w:t>
      </w:r>
    </w:p>
    <w:p w14:paraId="072B0EB6" w14:textId="77777777" w:rsidR="00795E60" w:rsidRDefault="00F56376">
      <w:pPr>
        <w:pStyle w:val="BodyText"/>
        <w:widowControl w:val="0"/>
      </w:pPr>
      <w:r>
        <w:t>Utvecklingsledarna inom främjandeverksamheten hos Region Örebro län, som är en del av kultursamverkansmodellen, har under 2025 arbetat på olika sätt för att stärka kulturen i hela länet, bland annat genom residens och andra satsningar. Från och med 2025 har en utökad tjänst inom kultursamverkansmodellen ett särskilt fokus på att stärka kultur på landsbygden.</w:t>
      </w:r>
    </w:p>
    <w:p w14:paraId="19E006D4" w14:textId="77777777" w:rsidR="00795E60" w:rsidRDefault="00F56376">
      <w:pPr>
        <w:pStyle w:val="BodyText"/>
        <w:widowControl w:val="0"/>
      </w:pPr>
      <w:r>
        <w:t>Minskade statsbidrag till studieförbunden försämrar förutsättningarna för att säkra tillgången till kultur i hela länet och förväntas särskilt påverka mindre kommuner och landsbygden.</w:t>
      </w:r>
    </w:p>
    <w:p w14:paraId="4272BB06" w14:textId="77777777" w:rsidR="00795E60" w:rsidRDefault="00F56376">
      <w:pPr>
        <w:pStyle w:val="BodyText"/>
        <w:widowControl w:val="0"/>
        <w:numPr>
          <w:ilvl w:val="0"/>
          <w:numId w:val="19"/>
        </w:numPr>
      </w:pPr>
      <w:r>
        <w:t>Uppdraget är flerårigt och uppdragets del av innevarande år har genomförts.</w:t>
      </w:r>
    </w:p>
    <w:p w14:paraId="467D9E03" w14:textId="77777777" w:rsidR="00795E60" w:rsidRDefault="00F56376">
      <w:pPr>
        <w:pStyle w:val="Rubrik4"/>
      </w:pPr>
      <w:r>
        <w:t>Uppdrag: Nr 27. Att verka för en fortsatt stark folkbildning i länet.</w:t>
      </w:r>
    </w:p>
    <w:p w14:paraId="5C23A1D8" w14:textId="77777777" w:rsidR="00795E60" w:rsidRDefault="00F56376">
      <w:pPr>
        <w:pStyle w:val="Texttitel"/>
      </w:pPr>
      <w:r>
        <w:t>Kommentar</w:t>
      </w:r>
    </w:p>
    <w:p w14:paraId="5E04C39E" w14:textId="77777777" w:rsidR="00795E60" w:rsidRDefault="00F56376">
      <w:pPr>
        <w:pStyle w:val="BodyText"/>
        <w:widowControl w:val="0"/>
      </w:pPr>
      <w:r>
        <w:t xml:space="preserve">Uppdraget genomförs enligt plan. Under året har kulturnämnden fattat </w:t>
      </w:r>
      <w:r>
        <w:t>beslut om nya riktlinjer och ny fördelningsmodell för det regionala stödet till studieförbunden. Men på grund av minskade statliga anslag till studieförbunden är deras situation ansträngd. Folkbildningens möjlighet att vara en stark aktör har försämrats.</w:t>
      </w:r>
    </w:p>
    <w:p w14:paraId="77D170AB" w14:textId="77777777" w:rsidR="00795E60" w:rsidRDefault="00F56376">
      <w:pPr>
        <w:pStyle w:val="BodyText"/>
        <w:widowControl w:val="0"/>
        <w:numPr>
          <w:ilvl w:val="0"/>
          <w:numId w:val="19"/>
        </w:numPr>
      </w:pPr>
      <w:r>
        <w:t>Uppdraget är flerårigt och uppdragets del av innevarande år har genomförts.</w:t>
      </w:r>
    </w:p>
    <w:p w14:paraId="38DC3C05" w14:textId="77777777" w:rsidR="00795E60" w:rsidRDefault="00F56376">
      <w:pPr>
        <w:pStyle w:val="Rubrik3"/>
      </w:pPr>
      <w:r>
        <w:lastRenderedPageBreak/>
        <w:t>Målsättning nr 6: Digitala lösningar för en enklare vardag för invånare och medarbetare</w:t>
      </w:r>
    </w:p>
    <w:p w14:paraId="73F754DE" w14:textId="77777777" w:rsidR="00795E60" w:rsidRDefault="00F56376">
      <w:pPr>
        <w:pStyle w:val="Texttitel"/>
      </w:pPr>
      <w:r>
        <w:t>Kommentar</w:t>
      </w:r>
    </w:p>
    <w:p w14:paraId="727FCCAB" w14:textId="77777777" w:rsidR="00795E60" w:rsidRDefault="00F56376">
      <w:pPr>
        <w:pStyle w:val="BodyText"/>
        <w:widowControl w:val="0"/>
      </w:pPr>
      <w:r>
        <w:t>Digitalisering är en central möjliggörare för att utveckla verksamhet och service inom Region Örebro län. Genom smarta och användarvänliga digitala lösningar kan invånare få enklare tillgång till information, tjänster och delaktighet, samtidigt som medarbetare får bättre förutsättningar i sitt arbete. Nämndernas arbete med digitalisering sker i samverkan inom regionen och med externa aktörer, i linje med länets digitaliseringsstrategi. Genom ett kontinuerligt fokus på innovation, samordning och digital mogn</w:t>
      </w:r>
      <w:r>
        <w:t>ad bidrar digitaliseringen till en mer effektiv, hållbar och inkluderande samhällsutveckling.</w:t>
      </w:r>
    </w:p>
    <w:p w14:paraId="2BDBBE6C" w14:textId="77777777" w:rsidR="00795E60" w:rsidRDefault="00F56376">
      <w:pPr>
        <w:pStyle w:val="BodyText"/>
        <w:widowControl w:val="0"/>
      </w:pPr>
      <w:r>
        <w:t>Se under uppdrag 49 och 50 när det gäller kulturnämndens arbete utifrån målsättningen.</w:t>
      </w:r>
    </w:p>
    <w:p w14:paraId="28250A48" w14:textId="77777777" w:rsidR="00795E60" w:rsidRDefault="00F56376">
      <w:pPr>
        <w:pStyle w:val="BodyText"/>
        <w:widowControl w:val="0"/>
        <w:numPr>
          <w:ilvl w:val="0"/>
          <w:numId w:val="19"/>
        </w:numPr>
      </w:pPr>
      <w:r>
        <w:t>Bedömningen utifrån nämndens/verksamhetens redovisning, styrtal</w:t>
      </w:r>
      <w:r>
        <w:t xml:space="preserve"> och uppdrag samt nämndens mål är att målsättningen delvis har uppnåtts.</w:t>
      </w:r>
    </w:p>
    <w:p w14:paraId="300825DA" w14:textId="77777777" w:rsidR="00795E60" w:rsidRDefault="00F56376">
      <w:pPr>
        <w:pStyle w:val="Rubrik4"/>
      </w:pPr>
      <w:r>
        <w:t>Uppdrag: Nr 49. Att fortsätta främja den digitala kulturen och utveckla digitala arbetssätt.</w:t>
      </w:r>
    </w:p>
    <w:p w14:paraId="43A0F0CA" w14:textId="77777777" w:rsidR="00795E60" w:rsidRDefault="00F56376">
      <w:pPr>
        <w:pStyle w:val="Texttitel"/>
      </w:pPr>
      <w:r>
        <w:t>Kommentar</w:t>
      </w:r>
    </w:p>
    <w:p w14:paraId="104251FF" w14:textId="77777777" w:rsidR="00795E60" w:rsidRDefault="00F56376">
      <w:pPr>
        <w:pStyle w:val="BodyText"/>
        <w:widowControl w:val="0"/>
      </w:pPr>
      <w:r>
        <w:t>Under året har verksamheterna ingått i en pilotverksamhet kopplat till Co-Pilot, vilket i framtiden kommer förenkla arbetet för enskilda medarbetare. Ytterligare verksamheter har genomfört kompetensutveckling kopplat till AI och förberedelser har gjorts för en övergång till ett molnbaserat arbetssätt. Samtidigt har arbetet med att implementera informationssäkerhetslösningar också utretts och kommer införas parallellt med övergången till ett molnbaserat arbetssätt.</w:t>
      </w:r>
    </w:p>
    <w:p w14:paraId="5B506A98" w14:textId="77777777" w:rsidR="00795E60" w:rsidRDefault="00F56376">
      <w:pPr>
        <w:pStyle w:val="BodyText"/>
        <w:widowControl w:val="0"/>
      </w:pPr>
      <w:r>
        <w:t>Område kultur och ideell sektor inom Region Örebro län har under 2025 påbörjat ett kompetenslyft inom Artificiell intelligens och dess påverkan på kultursektorn. Tjänstepersoner inom Område kultur och ideell sektor har tillsammans med övriga tjänstepersoner inom regional utveckling fått viss behörighet till Microsoft CoPilot inom CoPilot pilot för att främja och utveckla AI-baserade arbetssätt. Piloten ska utvärderas innan ett eventuellt bredare införande av CoPilot-licenser sker.</w:t>
      </w:r>
    </w:p>
    <w:p w14:paraId="37162395" w14:textId="77777777" w:rsidR="00795E60" w:rsidRDefault="00F56376">
      <w:pPr>
        <w:pStyle w:val="BodyText"/>
        <w:widowControl w:val="0"/>
      </w:pPr>
      <w:r>
        <w:t>Den regionala biblioteksverksamheten arbetar för att stödja länets folkbibliotek i MIK-frågor (medie- och informationskunnighet) för att bidra till länets demokratiska utveckling, digital folkbildning och digital delaktighet. Under 2025 arbetar verksamheten med ett processtöd till ett par folkbibliotek i länet i syfte att stärka verksamheternas kompetenser inom MIK och deras digitala transformation.</w:t>
      </w:r>
    </w:p>
    <w:p w14:paraId="675FE737" w14:textId="77777777" w:rsidR="00795E60" w:rsidRDefault="00F56376">
      <w:pPr>
        <w:pStyle w:val="BodyText"/>
        <w:widowControl w:val="0"/>
        <w:numPr>
          <w:ilvl w:val="0"/>
          <w:numId w:val="19"/>
        </w:numPr>
      </w:pPr>
      <w:r>
        <w:t>Uppdraget är flerårigt och uppdragets del av innevarande år har genomförts.</w:t>
      </w:r>
    </w:p>
    <w:p w14:paraId="65360BE2" w14:textId="77777777" w:rsidR="00795E60" w:rsidRDefault="00F56376">
      <w:pPr>
        <w:pStyle w:val="Rubrik4"/>
      </w:pPr>
      <w:r>
        <w:t>Uppdrag: Nr 50. Att erbjuda användarvänliga digitala lösningar till länets invånare, organisationer och företag och möta kravet om ”Digitalt först”.</w:t>
      </w:r>
    </w:p>
    <w:p w14:paraId="6572D44F" w14:textId="77777777" w:rsidR="00795E60" w:rsidRDefault="00F56376">
      <w:pPr>
        <w:pStyle w:val="Texttitel"/>
      </w:pPr>
      <w:r>
        <w:t>Kommentar</w:t>
      </w:r>
    </w:p>
    <w:p w14:paraId="0147DA88" w14:textId="77777777" w:rsidR="00795E60" w:rsidRDefault="00F56376">
      <w:pPr>
        <w:pStyle w:val="BodyText"/>
        <w:widowControl w:val="0"/>
      </w:pPr>
      <w:r>
        <w:t>Område kultur och ideell sektor stärker kunskaperna inom MIK. Dock finns stora utmaningar kopplade till digital utveckling både inom civilsamhället och kulturen i länet. Det gäller aktörer som Region Örebro län finansierar såväl som mer generellt. Även om en utveckling sker succesivt sker den sakta och i många fall saknas resurser för den transformation som behövs i ett alltmer digitaliserat samhälle. Inte minst är frågan om upphovsrätt kopplat till AI en viktig fråga.</w:t>
      </w:r>
    </w:p>
    <w:p w14:paraId="3C97423D" w14:textId="77777777" w:rsidR="00795E60" w:rsidRDefault="00F56376">
      <w:pPr>
        <w:pStyle w:val="BodyText"/>
        <w:widowControl w:val="0"/>
        <w:numPr>
          <w:ilvl w:val="0"/>
          <w:numId w:val="19"/>
        </w:numPr>
      </w:pPr>
      <w:r>
        <w:t>Uppdraget är flerårigt och uppdragets del av innevarande år har genomförts.</w:t>
      </w:r>
    </w:p>
    <w:p w14:paraId="11D4E5CC" w14:textId="77777777" w:rsidR="00795E60" w:rsidRDefault="00F56376">
      <w:pPr>
        <w:pStyle w:val="Rubrik3"/>
      </w:pPr>
      <w:r>
        <w:lastRenderedPageBreak/>
        <w:t>Målsättning nr 7: Ansvarsfulla verksamheter med höga ambitioner för hållbar utveckling.</w:t>
      </w:r>
    </w:p>
    <w:p w14:paraId="2F807490" w14:textId="77777777" w:rsidR="00795E60" w:rsidRDefault="00F56376">
      <w:pPr>
        <w:pStyle w:val="Texttitel"/>
      </w:pPr>
      <w:r>
        <w:t>Kommentar</w:t>
      </w:r>
    </w:p>
    <w:p w14:paraId="6E048DA7" w14:textId="77777777" w:rsidR="00795E60" w:rsidRDefault="00F56376">
      <w:pPr>
        <w:pStyle w:val="BodyText"/>
        <w:widowControl w:val="0"/>
      </w:pPr>
      <w:r>
        <w:t>Område kultur och ideell sektor främjar en socialt hållbar utveckling bland annat genom insatser för alla barns rätt till kultur och ett stärkt civilsamhälle. Bibliotekens cirkulära arbetssätt och återbruk inom scenkonsten bidrar till grön omställning.</w:t>
      </w:r>
    </w:p>
    <w:p w14:paraId="3FBB3B9A" w14:textId="77777777" w:rsidR="00795E60" w:rsidRDefault="00F56376">
      <w:pPr>
        <w:pStyle w:val="BodyText"/>
        <w:widowControl w:val="0"/>
      </w:pPr>
      <w:r>
        <w:t>Förvaltningen Regional utvecklings huvudfokus är en hållbar utveckling i länet genom framtagandet och verkställandet av den regionala utvecklingsstrategin. Arbetet med den regionala utvecklingsstrategin bidrar även till organisationens hållbarhetsarbete. Till exempel har upphandlingsavdelningen fått stöd i kravställan i transportupphandlingar och staben för hållbarhet får stöd i arbetet med strategin för övergång till en cirkulär ekonomi.</w:t>
      </w:r>
    </w:p>
    <w:p w14:paraId="0CEA4735" w14:textId="77777777" w:rsidR="00795E60" w:rsidRDefault="00F56376">
      <w:pPr>
        <w:pStyle w:val="BodyText"/>
        <w:widowControl w:val="0"/>
      </w:pPr>
      <w:r>
        <w:br/>
        <w:t>Förvaltningen har höga ambitioner att verka för en hållbar utveckling, detta kommer att arbetas in i flera handlingsplaner som till exempel handlingsplanen för innovation och entreprenörskap, länsplanen för regional transportinfrastruktur, trafikförsörjningsprogrammet och kulturplanen.</w:t>
      </w:r>
    </w:p>
    <w:p w14:paraId="12BA81F1" w14:textId="77777777" w:rsidR="00795E60" w:rsidRDefault="00F56376">
      <w:pPr>
        <w:pStyle w:val="BodyText"/>
        <w:widowControl w:val="0"/>
        <w:numPr>
          <w:ilvl w:val="0"/>
          <w:numId w:val="19"/>
        </w:numPr>
      </w:pPr>
      <w:r>
        <w:t>Bedömningen utifrån nämndens/verksamhetens redovisning, styrtal och uppdrag samt nämndens mål är att målsättningen har uppnåtts.</w:t>
      </w:r>
    </w:p>
    <w:p w14:paraId="1817AB2F" w14:textId="77777777" w:rsidR="00795E60" w:rsidRDefault="00F56376">
      <w:pPr>
        <w:pStyle w:val="Rubrik4"/>
      </w:pPr>
      <w:r>
        <w:t>Uppdrag: Nr 52. Att intensifiera arbetet inom de områden i program för hållbar utveckling där Region Örebro län riskerar att inte nå målen för innevarande programperiod.</w:t>
      </w:r>
    </w:p>
    <w:p w14:paraId="5F0ED921" w14:textId="77777777" w:rsidR="00795E60" w:rsidRDefault="00F56376">
      <w:pPr>
        <w:pStyle w:val="Texttitel"/>
      </w:pPr>
      <w:r>
        <w:t>Kommentar</w:t>
      </w:r>
    </w:p>
    <w:p w14:paraId="57ACA386" w14:textId="77777777" w:rsidR="00795E60" w:rsidRDefault="00F56376">
      <w:pPr>
        <w:pStyle w:val="BodyText"/>
        <w:widowControl w:val="0"/>
      </w:pPr>
      <w:r>
        <w:t>Under 2025 genomförde de regionalt finansierade kulturaktörerna ett stort antal föreställningar, konserter och kulturaktiviteter för och med barn, i enlighet med kulturplanens uppdrag. Region Örebro län subventionerade dessutom professionell kultur i skolan genom satsningen Kulturkraft, främst via fria kulturskapare. Område kultur och ideell sektor stärkte också barns och ungas tillgång till kultur i skolan och på fritiden genom projekt som Kulturcrew, Write-it, P som i poesi och olika filmpedagogiska satsn</w:t>
      </w:r>
      <w:r>
        <w:t>ingar.</w:t>
      </w:r>
    </w:p>
    <w:p w14:paraId="150A3209" w14:textId="77777777" w:rsidR="00795E60" w:rsidRDefault="00F56376">
      <w:pPr>
        <w:pStyle w:val="BodyText"/>
        <w:widowControl w:val="0"/>
      </w:pPr>
      <w:r>
        <w:t>Inom civilsamhället startades ett länsgemensamt projekt för att möta utmaningen med unga vuxna som varken arbetar eller studerar (UVAS). Genom samverkan med civilsamhället utvecklas nya arbetssätt i kommunala pilotverkstäder. Projektet stärker stödet till unga i övergången till arbete eller studier och bygger vidare på Partnerskapet för sociala innovationer, med målet att minska organisatoriska mellanrum och främja social hållbarhet i länet.</w:t>
      </w:r>
    </w:p>
    <w:p w14:paraId="432E3B64" w14:textId="77777777" w:rsidR="00795E60" w:rsidRDefault="00F56376">
      <w:pPr>
        <w:pStyle w:val="BodyText"/>
        <w:widowControl w:val="0"/>
      </w:pPr>
      <w:r>
        <w:t>Förvaltning Regional utveckling, där Område kultur och ideell sektor ingår, har sitt största fokus externt i länet. De mål som RÖL riskerar att inte nå som RU kan påverka är; klimatpåverkan från engångsmaterial och inköp av fossila bränslen. Den allmänna kollektivtrafiken är 100% fossilfri, med undantag av någon enstaka inköpt tågresa. Serviceresor körs på 82% fossilfritt. De två folkhögskolorna arbetar aktivt med att använda så lite engångsmaterial som möjligt. De jobbar aktivt med att minska plastanvändni</w:t>
      </w:r>
      <w:r>
        <w:t>ngen och där plast fortfarande behövs byts den ut mot återvinningsbara alternativ. Dryckesbägare i plast används aldrig pappersmuggar används vid utflykter, annars används bara porslin eller egna vattenflaskor.</w:t>
      </w:r>
    </w:p>
    <w:p w14:paraId="5FA9470A" w14:textId="77777777" w:rsidR="00795E60" w:rsidRDefault="00F56376">
      <w:pPr>
        <w:pStyle w:val="BodyText"/>
        <w:widowControl w:val="0"/>
        <w:numPr>
          <w:ilvl w:val="0"/>
          <w:numId w:val="19"/>
        </w:numPr>
      </w:pPr>
      <w:r>
        <w:t>Uppdraget är flerårigt och uppdragets del av innevarande år har genomförts</w:t>
      </w:r>
    </w:p>
    <w:p w14:paraId="7C17310E" w14:textId="77777777" w:rsidR="00795E60" w:rsidRDefault="00F56376">
      <w:pPr>
        <w:pStyle w:val="Rubrik4"/>
      </w:pPr>
      <w:r>
        <w:lastRenderedPageBreak/>
        <w:t>Uppdrag: Nr 53. Att minska Region Örebro läns klimatavtryck genom att arbeta för en resurseffektivare och mer cirkulär verksamhet.</w:t>
      </w:r>
    </w:p>
    <w:p w14:paraId="20C1F1E8" w14:textId="77777777" w:rsidR="00795E60" w:rsidRDefault="00F56376">
      <w:pPr>
        <w:pStyle w:val="Texttitel"/>
      </w:pPr>
      <w:r>
        <w:t>Kommentar</w:t>
      </w:r>
    </w:p>
    <w:p w14:paraId="4B6A02A9" w14:textId="77777777" w:rsidR="00795E60" w:rsidRDefault="00F56376">
      <w:pPr>
        <w:pStyle w:val="BodyText"/>
        <w:widowControl w:val="0"/>
      </w:pPr>
      <w:r>
        <w:t>Ett exempel på hur regionalt finansierad kultur bidrar till minskat klimatavtryck är Örebro läns museums hållbarhetsarbete. Inom slöjdverksamheten bedrivs aktiviteter med fokus på naturmaterial, lokal resursanvändning och traditionella tekniker. Museet har även lyft hållbarhetsfrågor på andra sätt, bland annat genom en utställning som belyste konsumtion ur ett historiskt perspektiv</w:t>
      </w:r>
    </w:p>
    <w:p w14:paraId="3CF4DBC5" w14:textId="77777777" w:rsidR="00795E60" w:rsidRDefault="00F56376">
      <w:pPr>
        <w:pStyle w:val="BodyText"/>
        <w:widowControl w:val="0"/>
      </w:pPr>
      <w:r>
        <w:t>Förvaltningen Regional Utveckling, där Område kultur och ideell sektor ingår, stöttar Region Örebro län med framförallt upphandling av hållbara transporter och cirkulär upphandling. Under 2025 har Regional utveckling även bidragit med underlag och kunskap till delar av det nya hållbarhetsprogrammet. RU bidrar även till att minska organisationens klimatavtryck genom att ha en fossilfri allmän kollektivtrafik och högt ställda mål för särskild kollektiv trafik. Vidare arbetar folkhögskolorna med att ha en så r</w:t>
      </w:r>
      <w:r>
        <w:t>esurseffektiv och klimatsmart verksamhet som möjligt. Framförallt inom kosten där de är ett föredöme när det gäller minskat matsvinn, lokalproducerat och ekologiska varor.</w:t>
      </w:r>
    </w:p>
    <w:p w14:paraId="189FEE42" w14:textId="77777777" w:rsidR="00795E60" w:rsidRDefault="00F56376">
      <w:pPr>
        <w:pStyle w:val="BodyText"/>
        <w:widowControl w:val="0"/>
        <w:numPr>
          <w:ilvl w:val="0"/>
          <w:numId w:val="19"/>
        </w:numPr>
      </w:pPr>
      <w:r>
        <w:t>Uppdraget är flerårigt och uppdragets del av innevarande år har genomförts.</w:t>
      </w:r>
    </w:p>
    <w:p w14:paraId="4A841DB6" w14:textId="77777777" w:rsidR="00795E60" w:rsidRDefault="00F56376">
      <w:pPr>
        <w:pStyle w:val="Rubrik4"/>
      </w:pPr>
      <w:r>
        <w:t>Uppdrag: Nr 54. Att genomföra insatser som syftar till att minska ojämlikhet i hälsa och främja delaktighet och inkludering.</w:t>
      </w:r>
    </w:p>
    <w:p w14:paraId="4974B0C0" w14:textId="77777777" w:rsidR="00795E60" w:rsidRDefault="00F56376">
      <w:pPr>
        <w:pStyle w:val="Texttitel"/>
      </w:pPr>
      <w:r>
        <w:t>Kommentar</w:t>
      </w:r>
    </w:p>
    <w:p w14:paraId="1CAD833A" w14:textId="77777777" w:rsidR="00795E60" w:rsidRDefault="00F56376">
      <w:pPr>
        <w:pStyle w:val="BodyText"/>
        <w:widowControl w:val="0"/>
      </w:pPr>
      <w:r>
        <w:t>Överenskommelserna om samverkan för god jämlik och jämställd hälsa mellan Region och kommun har under 2025 konkretiserats med en gemensam antagen samverkansplan, med överenskomna aktiviteter för att utveckla det strategiska arbetet i länet, och verka för målsättningarna god jämlik och jämställd hälsa, samt hög och jämlik livskvalitet. Aktiviteterna inkluderar att stärka hälsokunniga beslutsfattare, samt analysen om våra folkhälsoutmaningar i länet och hur vi kan samordnat verka för att möta dem.</w:t>
      </w:r>
    </w:p>
    <w:p w14:paraId="47901ADE" w14:textId="77777777" w:rsidR="00795E60" w:rsidRDefault="00F56376">
      <w:pPr>
        <w:pStyle w:val="BodyText"/>
        <w:widowControl w:val="0"/>
      </w:pPr>
      <w:r>
        <w:t>Flera av projekten som genomförs inom kultur och hälsa syftar till att minska ojämlikhet i hälsa. Kultur och kultursatsningar kan vara med och främja delaktighet och inkludering. Exempel på sådana satsningar 2025 är implementering av dans för personer med kognitiv svikt/demensdiagnoser i länets kommuner. Region Örebro län arrangerade i oktober 2025 konferensen "Om att skapa mening, delaktighet och psykisk hälsa tillsammans</w:t>
      </w:r>
      <w:r>
        <w:rPr>
          <w:i/>
        </w:rPr>
        <w:t>"</w:t>
      </w:r>
      <w:r>
        <w:t>, där kulturens roll i att främja psykisk hälsa stod i fokus. Konferensen samlade yrkesverksamma, civilsamhället och personer med egen erfarenhet för att utforska kulturens potential inom vård och omsorg</w:t>
      </w:r>
    </w:p>
    <w:p w14:paraId="7E638578" w14:textId="77777777" w:rsidR="00795E60" w:rsidRDefault="00F56376">
      <w:pPr>
        <w:pStyle w:val="BodyText"/>
        <w:widowControl w:val="0"/>
      </w:pPr>
      <w:r>
        <w:t>Uppdraget är flerårigt och uppdragets del av innevarande år har genomförts</w:t>
      </w:r>
    </w:p>
    <w:p w14:paraId="4B045018" w14:textId="77777777" w:rsidR="00795E60" w:rsidRDefault="00F56376">
      <w:pPr>
        <w:pStyle w:val="Rubrik3"/>
      </w:pPr>
      <w:r>
        <w:t>Målsättning nr 8: Kompetensförsörjningen är långsiktig.</w:t>
      </w:r>
    </w:p>
    <w:p w14:paraId="7F817A2A" w14:textId="77777777" w:rsidR="00795E60" w:rsidRDefault="00F56376">
      <w:pPr>
        <w:pStyle w:val="Texttitel"/>
      </w:pPr>
      <w:r>
        <w:t>Kommentar</w:t>
      </w:r>
    </w:p>
    <w:p w14:paraId="2538881C" w14:textId="77777777" w:rsidR="00795E60" w:rsidRDefault="00F56376">
      <w:pPr>
        <w:pStyle w:val="BodyText"/>
        <w:widowControl w:val="0"/>
      </w:pPr>
      <w:r>
        <w:t xml:space="preserve">Region Örebro län ska vara en attraktiv arbetsgivare, där medarbetare trivs och aktivt väljer att vara kvar för att de utvecklas i organisationen. Det är en grundläggande förutsättning för kompetensförsörjningen. Det finns dock utmaningar i kompetensförsörjningen utifrån demografi och tillgänglig arbetskraft samt att den svåra ekonomiska situationen är märkbar. Att ta tillvara, behålla och utveckla befintliga medarbetare och att samtidigt arbeta för att attrahera nya medarbetare under ekonomisk åtstramning </w:t>
      </w:r>
      <w:r>
        <w:t xml:space="preserve">är nödvändigt. </w:t>
      </w:r>
      <w:r>
        <w:lastRenderedPageBreak/>
        <w:t>Kompetensförsörjningen ska vara välplanerad, det innebär att den är planerad i förhållande till vilken kompetens och vilka resurser som behövs för att invånarnas och samhällets behov ska tillgodoses på bästa sätt utifrån Region Örebro läns uppdrag.</w:t>
      </w:r>
    </w:p>
    <w:p w14:paraId="04CA4E8D" w14:textId="77777777" w:rsidR="00795E60" w:rsidRDefault="00F56376">
      <w:pPr>
        <w:pStyle w:val="BodyText"/>
        <w:widowControl w:val="0"/>
      </w:pPr>
      <w:r>
        <w:t>Arbetet med hälsofrämjande, jämställda och jämlika arbetsplatser fortsätter för att skapa god arbetsmiljö och medarbetare som trivs. Målet att vara en attraktiv arbetsgivare följs upp genom regelbundna medarbetarenkäter och framtagande av handlingsplaner utifrån medarbetarenkätens resultat.</w:t>
      </w:r>
    </w:p>
    <w:p w14:paraId="6034296C" w14:textId="77777777" w:rsidR="00795E60" w:rsidRDefault="00F56376">
      <w:pPr>
        <w:pStyle w:val="BodyText"/>
        <w:widowControl w:val="0"/>
      </w:pPr>
      <w:r>
        <w:t>Året har som förra året till stor del präglats av omställningsarbete kopplat till de besparingskrav nämnden haft att hantera. Antalet anställda minskar i enlighet med handlingsplanen. Antalet anställda har ökat något under 2025, men detta är också en följd av att förvaltningen i högre grad än tidigare tillsätter vakanser som uppstår. Införandet av ett gemensamt arbetssätt kopplat till systematiskt arbetsmiljöarbete liksom integrering av organisationens värdegrund pågår i verksamheten.</w:t>
      </w:r>
    </w:p>
    <w:p w14:paraId="4C2608E6" w14:textId="77777777" w:rsidR="00795E60" w:rsidRDefault="00F56376">
      <w:pPr>
        <w:pStyle w:val="BodyText"/>
        <w:widowControl w:val="0"/>
      </w:pPr>
      <w:r>
        <w:t>Medarbetarenkäten 2024 för förvaltningen regional utveckling visar på ett HME (hållbart medarbetarengagemang) som är på samma nivå som 2021 och 2018. Motivation ligger kvar på samma nivå, styrning har ökat något medan ledarskap minskat något. Det finns mycket som är positivt i rapporten men den visar också på ett glapp mellan vad medarbetarna tycker är viktigt hos en bra arbetsgivare respektive hur man uppfattar Region Örebro län som arbetsgivare. Lön, förmåner, anställningsvillkor och karriär- och utveckli</w:t>
      </w:r>
      <w:r>
        <w:t>ngsmöjligheter är områden där glappet är som störst. När det kommer till utsatthetsfrågorna är de tyvärr högre än vid tidigare mätningar och något förvaltningen behöver arbeta vidare med.</w:t>
      </w:r>
    </w:p>
    <w:p w14:paraId="6A303246" w14:textId="77777777" w:rsidR="00795E60" w:rsidRDefault="00F56376">
      <w:pPr>
        <w:pStyle w:val="BodyText"/>
        <w:widowControl w:val="0"/>
      </w:pPr>
      <w:r>
        <w:t>För kulturnämndens personalstyrka specifikt är HME samt dess delindex högre än förvaltningens gemensamma. Glappet mellan vad medarbetarna tycker är viktigt hos en arbetsgivare respektive hur man uppfattar Region Örebro län som arbetsgivare liknar förvaltningens resultat. Nivåerna i utsatthet är högre än tidigare om än något lägre än förvaltningen i övrigt. Handlingsplaner på verksamhets- och förvaltningsnivå kommer tas fram under vintern 2025 och följas upp senare under 2026.</w:t>
      </w:r>
    </w:p>
    <w:p w14:paraId="560595A6" w14:textId="77777777" w:rsidR="00795E60" w:rsidRDefault="00F56376">
      <w:pPr>
        <w:pStyle w:val="BodyText"/>
        <w:widowControl w:val="0"/>
        <w:numPr>
          <w:ilvl w:val="0"/>
          <w:numId w:val="19"/>
        </w:numPr>
      </w:pPr>
      <w:r>
        <w:t>Bedömningen utifrån nämndens/verksamhetens redovisning, styrtal och uppdrag samt nämndens mål är att målsättningen delvis har uppnåtts.</w:t>
      </w:r>
    </w:p>
    <w:tbl>
      <w:tblPr>
        <w:tblStyle w:val="Tabellrutnt"/>
        <w:tblOverlap w:val="never"/>
        <w:tblW w:w="0" w:type="auto"/>
        <w:tblLayout w:type="fixed"/>
        <w:tblLook w:val="04A0" w:firstRow="1" w:lastRow="0" w:firstColumn="1" w:lastColumn="0" w:noHBand="0" w:noVBand="1"/>
      </w:tblPr>
      <w:tblGrid>
        <w:gridCol w:w="4536"/>
        <w:gridCol w:w="1701"/>
        <w:gridCol w:w="1701"/>
        <w:gridCol w:w="1701"/>
      </w:tblGrid>
      <w:tr w:rsidR="00FC2AD8" w14:paraId="59F0646F" w14:textId="77777777">
        <w:trPr>
          <w:cantSplit w:val="0"/>
          <w:tblHeader/>
        </w:trPr>
        <w:tc>
          <w:tcPr>
            <w:tcW w:w="4536" w:type="dxa"/>
            <w:tcBorders>
              <w:top w:val="single" w:sz="4" w:space="0" w:color="auto"/>
              <w:left w:val="nil"/>
              <w:bottom w:val="single" w:sz="4" w:space="0" w:color="auto"/>
              <w:right w:val="nil"/>
            </w:tcBorders>
            <w:shd w:val="clear" w:color="auto" w:fill="E1E9F2"/>
            <w:vAlign w:val="center"/>
          </w:tcPr>
          <w:p w14:paraId="2F4AE290" w14:textId="77777777" w:rsidR="00795E60" w:rsidRDefault="00F56376">
            <w:pPr>
              <w:pStyle w:val="Tabellcell"/>
            </w:pPr>
            <w:r>
              <w:rPr>
                <w:b/>
              </w:rPr>
              <w:t>Styrtal</w:t>
            </w:r>
          </w:p>
        </w:tc>
        <w:tc>
          <w:tcPr>
            <w:tcW w:w="1701" w:type="dxa"/>
            <w:tcBorders>
              <w:top w:val="single" w:sz="4" w:space="0" w:color="auto"/>
              <w:left w:val="nil"/>
              <w:bottom w:val="single" w:sz="4" w:space="0" w:color="auto"/>
              <w:right w:val="nil"/>
            </w:tcBorders>
            <w:shd w:val="clear" w:color="auto" w:fill="E1E9F2"/>
            <w:vAlign w:val="center"/>
          </w:tcPr>
          <w:p w14:paraId="66E27F4F" w14:textId="77777777" w:rsidR="00795E60" w:rsidRDefault="00F56376">
            <w:pPr>
              <w:pStyle w:val="Tabellcell"/>
              <w:jc w:val="center"/>
            </w:pPr>
            <w:r>
              <w:rPr>
                <w:b/>
              </w:rPr>
              <w:t>Utfall</w:t>
            </w:r>
          </w:p>
        </w:tc>
        <w:tc>
          <w:tcPr>
            <w:tcW w:w="1701" w:type="dxa"/>
            <w:tcBorders>
              <w:top w:val="single" w:sz="4" w:space="0" w:color="auto"/>
              <w:left w:val="nil"/>
              <w:bottom w:val="single" w:sz="4" w:space="0" w:color="auto"/>
              <w:right w:val="nil"/>
            </w:tcBorders>
            <w:shd w:val="clear" w:color="auto" w:fill="E1E9F2"/>
            <w:vAlign w:val="center"/>
          </w:tcPr>
          <w:p w14:paraId="1A3AE11A" w14:textId="77777777" w:rsidR="00795E60" w:rsidRDefault="00F56376">
            <w:pPr>
              <w:pStyle w:val="Tabellcell"/>
              <w:jc w:val="center"/>
            </w:pPr>
            <w:r>
              <w:rPr>
                <w:b/>
              </w:rPr>
              <w:t>Årets målvärde</w:t>
            </w:r>
          </w:p>
        </w:tc>
        <w:tc>
          <w:tcPr>
            <w:tcW w:w="1701" w:type="dxa"/>
            <w:tcBorders>
              <w:top w:val="single" w:sz="4" w:space="0" w:color="auto"/>
              <w:left w:val="nil"/>
              <w:bottom w:val="single" w:sz="4" w:space="0" w:color="auto"/>
              <w:right w:val="nil"/>
            </w:tcBorders>
            <w:shd w:val="clear" w:color="auto" w:fill="E1E9F2"/>
            <w:vAlign w:val="center"/>
          </w:tcPr>
          <w:p w14:paraId="5FDA6F65" w14:textId="77777777" w:rsidR="00795E60" w:rsidRDefault="00F56376">
            <w:pPr>
              <w:pStyle w:val="Tabellcell"/>
              <w:jc w:val="center"/>
            </w:pPr>
            <w:r>
              <w:rPr>
                <w:b/>
              </w:rPr>
              <w:t>Långsiktigt målvärde</w:t>
            </w:r>
          </w:p>
        </w:tc>
      </w:tr>
      <w:tr w:rsidR="00FC2AD8" w14:paraId="192060D0" w14:textId="77777777">
        <w:trPr>
          <w:cantSplit w:val="0"/>
        </w:trPr>
        <w:tc>
          <w:tcPr>
            <w:tcW w:w="4536" w:type="dxa"/>
            <w:tcBorders>
              <w:top w:val="single" w:sz="4" w:space="0" w:color="auto"/>
              <w:left w:val="nil"/>
              <w:bottom w:val="nil"/>
              <w:right w:val="nil"/>
            </w:tcBorders>
            <w:shd w:val="clear" w:color="auto" w:fill="FFFFFF"/>
          </w:tcPr>
          <w:p w14:paraId="7649E1FE" w14:textId="77777777" w:rsidR="00795E60" w:rsidRDefault="00F56376">
            <w:pPr>
              <w:pStyle w:val="Tabellcell"/>
            </w:pPr>
            <w:r>
              <w:rPr>
                <w:b/>
              </w:rPr>
              <w:t xml:space="preserve">1. Hållbart </w:t>
            </w:r>
            <w:r>
              <w:rPr>
                <w:b/>
              </w:rPr>
              <w:t>medarbetarengagemang (HME): Ska ligga på en hög nivå inom intervallet 77–80 för totalt HME. Strävan är att delindexen motivation, styrning och ledarskap ska ligga på en jämnhög nivå.</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0B6FCE27" w14:textId="77777777" w:rsidR="00795E60" w:rsidRDefault="00795E60">
            <w:pPr>
              <w:pStyle w:val="Tabellcell"/>
              <w:jc w:val="center"/>
            </w:pPr>
          </w:p>
        </w:tc>
        <w:tc>
          <w:tcPr>
            <w:tcW w:w="1701" w:type="dxa"/>
            <w:tcBorders>
              <w:top w:val="single" w:sz="4" w:space="0" w:color="auto"/>
              <w:left w:val="nil"/>
              <w:bottom w:val="nil"/>
              <w:right w:val="nil"/>
            </w:tcBorders>
            <w:shd w:val="clear" w:color="auto" w:fill="FFFFFF"/>
          </w:tcPr>
          <w:p w14:paraId="5B4471D4" w14:textId="77777777" w:rsidR="00795E60" w:rsidRDefault="00F56376">
            <w:pPr>
              <w:pStyle w:val="Tabellcell"/>
              <w:jc w:val="center"/>
            </w:pPr>
            <w:r>
              <w:t>77- 80</w:t>
            </w:r>
          </w:p>
        </w:tc>
        <w:tc>
          <w:tcPr>
            <w:tcW w:w="1701" w:type="dxa"/>
            <w:tcBorders>
              <w:top w:val="single" w:sz="4" w:space="0" w:color="auto"/>
              <w:left w:val="nil"/>
              <w:bottom w:val="nil"/>
              <w:right w:val="nil"/>
            </w:tcBorders>
            <w:shd w:val="clear" w:color="auto" w:fill="FFFFFF"/>
          </w:tcPr>
          <w:p w14:paraId="6BCFACAD" w14:textId="77777777" w:rsidR="00795E60" w:rsidRDefault="00F56376">
            <w:pPr>
              <w:pStyle w:val="Tabellcell"/>
              <w:jc w:val="center"/>
            </w:pPr>
            <w:r>
              <w:t>80</w:t>
            </w:r>
          </w:p>
        </w:tc>
      </w:tr>
      <w:tr w:rsidR="00FC2AD8" w14:paraId="5B146470" w14:textId="77777777">
        <w:trPr>
          <w:cantSplit w:val="0"/>
        </w:trPr>
        <w:tc>
          <w:tcPr>
            <w:tcW w:w="9639" w:type="dxa"/>
            <w:gridSpan w:val="4"/>
            <w:tcBorders>
              <w:top w:val="nil"/>
              <w:left w:val="nil"/>
              <w:bottom w:val="single" w:sz="4" w:space="0" w:color="auto"/>
              <w:right w:val="nil"/>
            </w:tcBorders>
            <w:shd w:val="clear" w:color="auto" w:fill="FFFFFF"/>
          </w:tcPr>
          <w:p w14:paraId="0A2EB7B3" w14:textId="77777777" w:rsidR="00795E60" w:rsidRDefault="00F56376">
            <w:pPr>
              <w:pStyle w:val="Tabellcell"/>
              <w:widowControl w:val="0"/>
            </w:pPr>
            <w:r>
              <w:rPr>
                <w:b/>
                <w:i/>
              </w:rPr>
              <w:t>Kommentar</w:t>
            </w:r>
          </w:p>
          <w:p w14:paraId="3D4A00FB" w14:textId="77777777" w:rsidR="00795E60" w:rsidRDefault="00F56376">
            <w:pPr>
              <w:pStyle w:val="Tabellcell"/>
              <w:widowControl w:val="0"/>
            </w:pPr>
            <w:r>
              <w:t xml:space="preserve">HME under 2025 baseras på </w:t>
            </w:r>
            <w:r>
              <w:t>undersökningen som gjordes 2024 då utfallet blev 79.</w:t>
            </w:r>
          </w:p>
        </w:tc>
      </w:tr>
      <w:tr w:rsidR="00FC2AD8" w14:paraId="7FB9BCC2" w14:textId="77777777">
        <w:trPr>
          <w:cantSplit w:val="0"/>
        </w:trPr>
        <w:tc>
          <w:tcPr>
            <w:tcW w:w="4536" w:type="dxa"/>
            <w:tcBorders>
              <w:top w:val="single" w:sz="4" w:space="0" w:color="auto"/>
              <w:left w:val="nil"/>
              <w:bottom w:val="nil"/>
              <w:right w:val="nil"/>
            </w:tcBorders>
            <w:shd w:val="clear" w:color="auto" w:fill="FFFFFF"/>
          </w:tcPr>
          <w:p w14:paraId="385E12ED" w14:textId="77777777" w:rsidR="00795E60" w:rsidRDefault="00F56376">
            <w:pPr>
              <w:pStyle w:val="Tabellcell"/>
            </w:pPr>
            <w:r>
              <w:rPr>
                <w:b/>
              </w:rPr>
              <w:t>2. Systematiskt arbetsmiljöarbete (SAM), bidrar till bra arbetsmiljö och till rimliga förutsättningar.  Andel chefer som svarat på årlig uppföljning av SAM.</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0C08D9B4" w14:textId="77777777" w:rsidR="00795E60" w:rsidRDefault="00795E60">
            <w:pPr>
              <w:pStyle w:val="Tabellcell"/>
              <w:jc w:val="center"/>
            </w:pPr>
          </w:p>
        </w:tc>
        <w:tc>
          <w:tcPr>
            <w:tcW w:w="1701" w:type="dxa"/>
            <w:tcBorders>
              <w:top w:val="single" w:sz="4" w:space="0" w:color="auto"/>
              <w:left w:val="nil"/>
              <w:bottom w:val="nil"/>
              <w:right w:val="nil"/>
            </w:tcBorders>
            <w:shd w:val="clear" w:color="auto" w:fill="FFFFFF"/>
          </w:tcPr>
          <w:p w14:paraId="4A948C6E" w14:textId="77777777" w:rsidR="00795E60" w:rsidRDefault="00F56376">
            <w:pPr>
              <w:pStyle w:val="Tabellcell"/>
              <w:jc w:val="center"/>
            </w:pPr>
            <w:r>
              <w:t>90- 100 %</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3FDC4116" w14:textId="77777777" w:rsidR="00795E60" w:rsidRDefault="00795E60">
            <w:pPr>
              <w:pStyle w:val="Tabellcell"/>
              <w:jc w:val="center"/>
            </w:pPr>
          </w:p>
        </w:tc>
      </w:tr>
      <w:tr w:rsidR="00FC2AD8" w14:paraId="7B70F134" w14:textId="77777777">
        <w:trPr>
          <w:cantSplit w:val="0"/>
        </w:trPr>
        <w:tc>
          <w:tcPr>
            <w:tcW w:w="9639" w:type="dxa"/>
            <w:gridSpan w:val="4"/>
            <w:tcBorders>
              <w:top w:val="nil"/>
              <w:left w:val="nil"/>
              <w:bottom w:val="single" w:sz="4" w:space="0" w:color="auto"/>
              <w:right w:val="nil"/>
            </w:tcBorders>
            <w:shd w:val="clear" w:color="auto" w:fill="FFFFFF"/>
          </w:tcPr>
          <w:p w14:paraId="138B6187" w14:textId="77777777" w:rsidR="00795E60" w:rsidRDefault="00F56376">
            <w:pPr>
              <w:pStyle w:val="Tabellcell"/>
              <w:widowControl w:val="0"/>
            </w:pPr>
            <w:r>
              <w:rPr>
                <w:b/>
                <w:i/>
              </w:rPr>
              <w:t>Kommentar</w:t>
            </w:r>
          </w:p>
          <w:p w14:paraId="6529460B" w14:textId="77777777" w:rsidR="00795E60" w:rsidRDefault="00F56376">
            <w:pPr>
              <w:pStyle w:val="Tabellcell"/>
              <w:widowControl w:val="0"/>
            </w:pPr>
            <w:r>
              <w:t xml:space="preserve">Ett aktivt </w:t>
            </w:r>
            <w:r>
              <w:t>arbete med att jobba med SAM och vår svarsfrekvens inom förvaltningen för att skapa och bibehålla en bra arbetsmiljö med så bra underlag som möjligt.</w:t>
            </w:r>
          </w:p>
        </w:tc>
      </w:tr>
      <w:tr w:rsidR="00FC2AD8" w14:paraId="4E4B5F1D" w14:textId="77777777">
        <w:trPr>
          <w:cantSplit w:val="0"/>
        </w:trPr>
        <w:tc>
          <w:tcPr>
            <w:tcW w:w="4536" w:type="dxa"/>
            <w:tcBorders>
              <w:top w:val="single" w:sz="4" w:space="0" w:color="auto"/>
              <w:left w:val="nil"/>
              <w:bottom w:val="nil"/>
              <w:right w:val="nil"/>
            </w:tcBorders>
            <w:shd w:val="clear" w:color="auto" w:fill="FFFFFF"/>
          </w:tcPr>
          <w:p w14:paraId="36E25698" w14:textId="77777777" w:rsidR="00795E60" w:rsidRDefault="00F56376">
            <w:pPr>
              <w:pStyle w:val="Tabellcell"/>
            </w:pPr>
            <w:r>
              <w:rPr>
                <w:b/>
              </w:rPr>
              <w:t>3. Sjukfrånvaron ska minska.</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2420E50E" w14:textId="77777777" w:rsidR="00795E60" w:rsidRDefault="00795E60">
            <w:pPr>
              <w:pStyle w:val="Tabellcell"/>
              <w:jc w:val="center"/>
            </w:pPr>
          </w:p>
        </w:tc>
        <w:tc>
          <w:tcPr>
            <w:tcW w:w="1701" w:type="dxa"/>
            <w:tcBorders>
              <w:top w:val="single" w:sz="4" w:space="0" w:color="auto"/>
              <w:left w:val="nil"/>
              <w:bottom w:val="nil"/>
              <w:right w:val="nil"/>
            </w:tcBorders>
            <w:shd w:val="clear" w:color="auto" w:fill="FFFFFF"/>
          </w:tcPr>
          <w:p w14:paraId="1D0009C7" w14:textId="77777777" w:rsidR="00795E60" w:rsidRDefault="00F56376">
            <w:pPr>
              <w:pStyle w:val="Tabellcell"/>
              <w:jc w:val="center"/>
            </w:pPr>
            <w:r>
              <w:t>4,2 %</w:t>
            </w:r>
          </w:p>
        </w:tc>
        <w:tc>
          <w:tcPr>
            <w:tcW w:w="1701" w:type="dxa"/>
            <w:tcBorders>
              <w:top w:val="single" w:sz="4" w:space="0" w:color="auto"/>
              <w:left w:val="nil"/>
              <w:bottom w:val="nil"/>
              <w:right w:val="nil"/>
            </w:tcBorders>
            <w:shd w:val="clear" w:color="auto" w:fill="FFFFFF"/>
            <w:tcMar>
              <w:top w:w="0" w:type="dxa"/>
              <w:left w:w="0" w:type="dxa"/>
              <w:bottom w:w="0" w:type="dxa"/>
              <w:right w:w="0" w:type="dxa"/>
            </w:tcMar>
          </w:tcPr>
          <w:p w14:paraId="2583D9E8" w14:textId="77777777" w:rsidR="00795E60" w:rsidRDefault="00795E60">
            <w:pPr>
              <w:pStyle w:val="Tabellcell"/>
              <w:jc w:val="center"/>
            </w:pPr>
          </w:p>
        </w:tc>
      </w:tr>
      <w:tr w:rsidR="00FC2AD8" w14:paraId="358C0D11" w14:textId="77777777">
        <w:trPr>
          <w:cantSplit w:val="0"/>
        </w:trPr>
        <w:tc>
          <w:tcPr>
            <w:tcW w:w="9639" w:type="dxa"/>
            <w:gridSpan w:val="4"/>
            <w:tcBorders>
              <w:top w:val="nil"/>
              <w:left w:val="nil"/>
              <w:bottom w:val="single" w:sz="4" w:space="0" w:color="auto"/>
              <w:right w:val="nil"/>
            </w:tcBorders>
            <w:shd w:val="clear" w:color="auto" w:fill="FFFFFF"/>
          </w:tcPr>
          <w:p w14:paraId="3C8CC077" w14:textId="77777777" w:rsidR="00795E60" w:rsidRDefault="00F56376">
            <w:pPr>
              <w:pStyle w:val="Tabellcell"/>
              <w:widowControl w:val="0"/>
            </w:pPr>
            <w:r>
              <w:rPr>
                <w:b/>
                <w:i/>
              </w:rPr>
              <w:lastRenderedPageBreak/>
              <w:t>Kommentar</w:t>
            </w:r>
          </w:p>
          <w:p w14:paraId="7EC06267" w14:textId="77777777" w:rsidR="00795E60" w:rsidRDefault="00F56376">
            <w:pPr>
              <w:pStyle w:val="Tabellcell"/>
              <w:widowControl w:val="0"/>
            </w:pPr>
            <w:r>
              <w:t>Sjukfrånvaron inom regionala tillväxtnämndens ansvarsområde har ifrån föregående år sjunkit. Under året har fokus på handlingsplaner kopplat till medarbetarenkäten och aktivare systematiskt arbetsmiljöarbete givit ett positivt resultat på helårets siffror avseende sjukfrånvaron.</w:t>
            </w:r>
          </w:p>
        </w:tc>
      </w:tr>
    </w:tbl>
    <w:p w14:paraId="58DE248F" w14:textId="77777777" w:rsidR="00795E60" w:rsidRDefault="00F56376">
      <w:pPr>
        <w:pStyle w:val="Rubrik4"/>
      </w:pPr>
      <w:r>
        <w:t xml:space="preserve">Uppdrag: Nr 38. Att beakta </w:t>
      </w:r>
      <w:r>
        <w:t>den långsiktiga påverkan av kompetensförsörjningen och arbetsmiljöperspektivet i de fall det är aktuellt inom nämndens ansvarsområde och inför nämndens beslut.</w:t>
      </w:r>
    </w:p>
    <w:p w14:paraId="5D2D648E" w14:textId="77777777" w:rsidR="00795E60" w:rsidRDefault="00F56376">
      <w:pPr>
        <w:pStyle w:val="Texttitel"/>
      </w:pPr>
      <w:r>
        <w:t>Kommentar</w:t>
      </w:r>
    </w:p>
    <w:p w14:paraId="317776ED" w14:textId="77777777" w:rsidR="00795E60" w:rsidRDefault="00F56376">
      <w:pPr>
        <w:pStyle w:val="BodyText"/>
        <w:widowControl w:val="0"/>
      </w:pPr>
      <w:r>
        <w:t>Inom förvaltning Regional utveckling tas Arbetsmiljöperspektivet om hand om inom ramen för det systematiska arbetsmiljöarbetet.</w:t>
      </w:r>
    </w:p>
    <w:p w14:paraId="4F1A25AF" w14:textId="77777777" w:rsidR="00795E60" w:rsidRDefault="00F56376">
      <w:pPr>
        <w:pStyle w:val="BodyText"/>
        <w:widowControl w:val="0"/>
      </w:pPr>
      <w:r>
        <w:t>Utifrån resultatet från medarbetarenkäten så planeras det in att under hösten 2025 rikta ett extra fokus för cheferna att arbeta med OSA (organisatorisk och social arbetsmiljö), medarbetarskap och Friskfaktorer. Detta tillsammans med sina medarbetargrupper.</w:t>
      </w:r>
    </w:p>
    <w:p w14:paraId="39247E45" w14:textId="77777777" w:rsidR="00795E60" w:rsidRDefault="00F56376">
      <w:pPr>
        <w:pStyle w:val="BodyText"/>
        <w:widowControl w:val="0"/>
      </w:pPr>
      <w:r>
        <w:t>En RÖL gemensam kompetensförsörjningsanalys ska utarbetas och genomföras med start under hösten 2025. Detta arbete är framflyttat till våren 2026.</w:t>
      </w:r>
    </w:p>
    <w:p w14:paraId="480CF2C9" w14:textId="77777777" w:rsidR="00795E60" w:rsidRDefault="00F56376">
      <w:pPr>
        <w:pStyle w:val="BodyText"/>
        <w:widowControl w:val="0"/>
        <w:numPr>
          <w:ilvl w:val="0"/>
          <w:numId w:val="19"/>
        </w:numPr>
      </w:pPr>
      <w:r>
        <w:t>Uppdraget är flerårigt och uppdragets del av innevarande år har genomförts.</w:t>
      </w:r>
    </w:p>
    <w:p w14:paraId="33CADB11" w14:textId="77777777" w:rsidR="00795E60" w:rsidRDefault="00F56376">
      <w:pPr>
        <w:pStyle w:val="Rubrik3"/>
      </w:pPr>
      <w:r>
        <w:t>Målsättning nr 9: En långsiktig stark och hållbar ekonomi med finansiell god hushållning.</w:t>
      </w:r>
    </w:p>
    <w:p w14:paraId="0842F10C" w14:textId="77777777" w:rsidR="00795E60" w:rsidRDefault="00F56376">
      <w:pPr>
        <w:pStyle w:val="Texttitel"/>
      </w:pPr>
      <w:r>
        <w:t>Kommentar</w:t>
      </w:r>
    </w:p>
    <w:p w14:paraId="0B2612FC" w14:textId="77777777" w:rsidR="00795E60" w:rsidRDefault="00F56376">
      <w:pPr>
        <w:pStyle w:val="BodyText"/>
        <w:widowControl w:val="0"/>
      </w:pPr>
      <w:r>
        <w:t>Nämnden lämnar i bokslutet för 2025 ett överskott med 1,1 miljoner kronor. Trots en omfattande handlingsplan på 18,1 miljoner kronor inför året visar nämnden på en ekonomi i balans mot budget även för 2025.</w:t>
      </w:r>
    </w:p>
    <w:p w14:paraId="4EB2F4CF" w14:textId="77777777" w:rsidR="00795E60" w:rsidRDefault="00F56376">
      <w:pPr>
        <w:pStyle w:val="BodyText"/>
        <w:widowControl w:val="0"/>
      </w:pPr>
      <w:r>
        <w:t>Nämnden har vidtagit åtgärder genom att fatta beslut om en handlingsplan. Handlingsplanen omfattar 14 olika åtgärder där helårseffekten för 2025 har uppfyllts i sin helhet redan under 2024.</w:t>
      </w:r>
    </w:p>
    <w:p w14:paraId="426689EF" w14:textId="77777777" w:rsidR="00795E60" w:rsidRDefault="00F56376">
      <w:pPr>
        <w:pStyle w:val="BodyText"/>
        <w:widowControl w:val="0"/>
      </w:pPr>
      <w:r>
        <w:t>I och med beslut om anställnings- och inköpsstopp genererar detta lägre kostnader utöver handlingsplanens långsiktiga planering och nämnden kan därför även för 2025 presentera ett överskott.</w:t>
      </w:r>
    </w:p>
    <w:p w14:paraId="72C65C67" w14:textId="77777777" w:rsidR="00795E60" w:rsidRDefault="00F56376">
      <w:pPr>
        <w:pStyle w:val="BodyText"/>
        <w:widowControl w:val="0"/>
        <w:numPr>
          <w:ilvl w:val="0"/>
          <w:numId w:val="19"/>
        </w:numPr>
      </w:pPr>
      <w:r>
        <w:t>Bedömningen utifrån nämndens/verksamhetens redovisning, styrtal och uppdrag samt nämndens mål är att målsättningen har uppnåtts.</w:t>
      </w:r>
    </w:p>
    <w:tbl>
      <w:tblPr>
        <w:tblStyle w:val="Tabellrutnt"/>
        <w:tblOverlap w:val="never"/>
        <w:tblW w:w="0" w:type="auto"/>
        <w:tblLayout w:type="fixed"/>
        <w:tblLook w:val="04A0" w:firstRow="1" w:lastRow="0" w:firstColumn="1" w:lastColumn="0" w:noHBand="0" w:noVBand="1"/>
      </w:tblPr>
      <w:tblGrid>
        <w:gridCol w:w="4536"/>
        <w:gridCol w:w="1701"/>
        <w:gridCol w:w="1701"/>
        <w:gridCol w:w="1701"/>
      </w:tblGrid>
      <w:tr w:rsidR="00FC2AD8" w14:paraId="3D4152A3" w14:textId="77777777">
        <w:trPr>
          <w:cantSplit w:val="0"/>
          <w:tblHeader/>
        </w:trPr>
        <w:tc>
          <w:tcPr>
            <w:tcW w:w="4536" w:type="dxa"/>
            <w:tcBorders>
              <w:top w:val="single" w:sz="4" w:space="0" w:color="auto"/>
              <w:left w:val="nil"/>
              <w:bottom w:val="single" w:sz="4" w:space="0" w:color="auto"/>
              <w:right w:val="nil"/>
            </w:tcBorders>
            <w:shd w:val="clear" w:color="auto" w:fill="E1E9F2"/>
            <w:vAlign w:val="center"/>
          </w:tcPr>
          <w:p w14:paraId="3ED3DFAB" w14:textId="77777777" w:rsidR="00795E60" w:rsidRDefault="00F56376">
            <w:pPr>
              <w:pStyle w:val="Tabellcell"/>
            </w:pPr>
            <w:r>
              <w:rPr>
                <w:b/>
              </w:rPr>
              <w:t>Styrtal</w:t>
            </w:r>
          </w:p>
        </w:tc>
        <w:tc>
          <w:tcPr>
            <w:tcW w:w="1701" w:type="dxa"/>
            <w:tcBorders>
              <w:top w:val="single" w:sz="4" w:space="0" w:color="auto"/>
              <w:left w:val="nil"/>
              <w:bottom w:val="single" w:sz="4" w:space="0" w:color="auto"/>
              <w:right w:val="nil"/>
            </w:tcBorders>
            <w:shd w:val="clear" w:color="auto" w:fill="E1E9F2"/>
            <w:vAlign w:val="center"/>
          </w:tcPr>
          <w:p w14:paraId="61386D86" w14:textId="77777777" w:rsidR="00795E60" w:rsidRDefault="00F56376">
            <w:pPr>
              <w:pStyle w:val="Tabellcell"/>
              <w:jc w:val="center"/>
            </w:pPr>
            <w:r>
              <w:rPr>
                <w:b/>
              </w:rPr>
              <w:t>Utfall</w:t>
            </w:r>
          </w:p>
        </w:tc>
        <w:tc>
          <w:tcPr>
            <w:tcW w:w="1701" w:type="dxa"/>
            <w:tcBorders>
              <w:top w:val="single" w:sz="4" w:space="0" w:color="auto"/>
              <w:left w:val="nil"/>
              <w:bottom w:val="single" w:sz="4" w:space="0" w:color="auto"/>
              <w:right w:val="nil"/>
            </w:tcBorders>
            <w:shd w:val="clear" w:color="auto" w:fill="E1E9F2"/>
            <w:vAlign w:val="center"/>
          </w:tcPr>
          <w:p w14:paraId="4CCE95AE" w14:textId="77777777" w:rsidR="00795E60" w:rsidRDefault="00F56376">
            <w:pPr>
              <w:pStyle w:val="Tabellcell"/>
              <w:jc w:val="center"/>
            </w:pPr>
            <w:r>
              <w:rPr>
                <w:b/>
              </w:rPr>
              <w:t>Årets målvärde</w:t>
            </w:r>
          </w:p>
        </w:tc>
        <w:tc>
          <w:tcPr>
            <w:tcW w:w="1701" w:type="dxa"/>
            <w:tcBorders>
              <w:top w:val="single" w:sz="4" w:space="0" w:color="auto"/>
              <w:left w:val="nil"/>
              <w:bottom w:val="single" w:sz="4" w:space="0" w:color="auto"/>
              <w:right w:val="nil"/>
            </w:tcBorders>
            <w:shd w:val="clear" w:color="auto" w:fill="E1E9F2"/>
            <w:vAlign w:val="center"/>
          </w:tcPr>
          <w:p w14:paraId="2C51128C" w14:textId="77777777" w:rsidR="00795E60" w:rsidRDefault="00F56376">
            <w:pPr>
              <w:pStyle w:val="Tabellcell"/>
              <w:jc w:val="center"/>
            </w:pPr>
            <w:r>
              <w:rPr>
                <w:b/>
              </w:rPr>
              <w:t>Långsiktigt målvärde</w:t>
            </w:r>
          </w:p>
        </w:tc>
      </w:tr>
      <w:tr w:rsidR="00FC2AD8" w14:paraId="5CC8E0BA" w14:textId="77777777">
        <w:trPr>
          <w:cantSplit w:val="0"/>
        </w:trPr>
        <w:tc>
          <w:tcPr>
            <w:tcW w:w="4536" w:type="dxa"/>
            <w:tcBorders>
              <w:top w:val="single" w:sz="4" w:space="0" w:color="auto"/>
              <w:left w:val="nil"/>
              <w:bottom w:val="nil"/>
              <w:right w:val="nil"/>
            </w:tcBorders>
            <w:shd w:val="clear" w:color="auto" w:fill="FFFFFF"/>
          </w:tcPr>
          <w:p w14:paraId="0E0BFF86" w14:textId="77777777" w:rsidR="00795E60" w:rsidRDefault="00F56376">
            <w:pPr>
              <w:pStyle w:val="Tabellcell"/>
            </w:pPr>
            <w:r>
              <w:rPr>
                <w:b/>
              </w:rPr>
              <w:t>3. Regionstyrelsens och nämndernas budgetunderskott ska minska.</w:t>
            </w:r>
          </w:p>
        </w:tc>
        <w:tc>
          <w:tcPr>
            <w:tcW w:w="1701" w:type="dxa"/>
            <w:tcBorders>
              <w:top w:val="single" w:sz="4" w:space="0" w:color="auto"/>
              <w:left w:val="nil"/>
              <w:bottom w:val="nil"/>
              <w:right w:val="nil"/>
            </w:tcBorders>
            <w:shd w:val="clear" w:color="auto" w:fill="FFFFFF"/>
          </w:tcPr>
          <w:p w14:paraId="7D567604" w14:textId="77777777" w:rsidR="00795E60" w:rsidRDefault="00F56376">
            <w:pPr>
              <w:pStyle w:val="Tabellcell"/>
              <w:jc w:val="center"/>
            </w:pPr>
            <w:r>
              <w:t>1,1 mnkr</w:t>
            </w:r>
          </w:p>
        </w:tc>
        <w:tc>
          <w:tcPr>
            <w:tcW w:w="1701" w:type="dxa"/>
            <w:tcBorders>
              <w:top w:val="single" w:sz="4" w:space="0" w:color="auto"/>
              <w:left w:val="nil"/>
              <w:bottom w:val="nil"/>
              <w:right w:val="nil"/>
            </w:tcBorders>
            <w:shd w:val="clear" w:color="auto" w:fill="FFFFFF"/>
          </w:tcPr>
          <w:p w14:paraId="78FA7C73" w14:textId="77777777" w:rsidR="00795E60" w:rsidRDefault="00F56376">
            <w:pPr>
              <w:pStyle w:val="Tabellcell"/>
              <w:jc w:val="center"/>
            </w:pPr>
            <w:r>
              <w:t>0 mnkr</w:t>
            </w:r>
          </w:p>
        </w:tc>
        <w:tc>
          <w:tcPr>
            <w:tcW w:w="1701" w:type="dxa"/>
            <w:tcBorders>
              <w:top w:val="single" w:sz="4" w:space="0" w:color="auto"/>
              <w:left w:val="nil"/>
              <w:bottom w:val="nil"/>
              <w:right w:val="nil"/>
            </w:tcBorders>
            <w:shd w:val="clear" w:color="auto" w:fill="FFFFFF"/>
          </w:tcPr>
          <w:p w14:paraId="3C853180" w14:textId="77777777" w:rsidR="00795E60" w:rsidRDefault="00F56376">
            <w:pPr>
              <w:pStyle w:val="Tabellcell"/>
              <w:jc w:val="center"/>
            </w:pPr>
            <w:r>
              <w:t>0 mnkr</w:t>
            </w:r>
          </w:p>
        </w:tc>
      </w:tr>
      <w:tr w:rsidR="00FC2AD8" w14:paraId="6CC9FD1E" w14:textId="77777777">
        <w:trPr>
          <w:cantSplit w:val="0"/>
        </w:trPr>
        <w:tc>
          <w:tcPr>
            <w:tcW w:w="9639" w:type="dxa"/>
            <w:gridSpan w:val="4"/>
            <w:tcBorders>
              <w:top w:val="nil"/>
              <w:left w:val="nil"/>
              <w:bottom w:val="single" w:sz="4" w:space="0" w:color="auto"/>
              <w:right w:val="nil"/>
            </w:tcBorders>
            <w:shd w:val="clear" w:color="auto" w:fill="FFFFFF"/>
          </w:tcPr>
          <w:p w14:paraId="2162289F" w14:textId="77777777" w:rsidR="00795E60" w:rsidRDefault="00F56376">
            <w:pPr>
              <w:pStyle w:val="Tabellcell"/>
              <w:widowControl w:val="0"/>
            </w:pPr>
            <w:r>
              <w:rPr>
                <w:b/>
                <w:i/>
              </w:rPr>
              <w:t>Kommentar</w:t>
            </w:r>
          </w:p>
          <w:p w14:paraId="4DBD2890" w14:textId="77777777" w:rsidR="00795E60" w:rsidRDefault="00F56376">
            <w:pPr>
              <w:pStyle w:val="Tabellcell"/>
              <w:widowControl w:val="0"/>
            </w:pPr>
            <w:r>
              <w:t xml:space="preserve">Regional tillväxtnämnd visar en positiv </w:t>
            </w:r>
            <w:r>
              <w:t>budgetavvikelse med 5,9 mnkr.</w:t>
            </w:r>
          </w:p>
        </w:tc>
      </w:tr>
    </w:tbl>
    <w:p w14:paraId="1C005BD1" w14:textId="77777777" w:rsidR="00795E60" w:rsidRDefault="00F56376">
      <w:pPr>
        <w:pStyle w:val="Rubrik4"/>
      </w:pPr>
      <w:r>
        <w:lastRenderedPageBreak/>
        <w:t>Uppdrag: Nr 35. Att fortsätta arbetet med handlingsplaner för ekonomi i balans.</w:t>
      </w:r>
    </w:p>
    <w:p w14:paraId="54CF1467" w14:textId="77777777" w:rsidR="00795E60" w:rsidRDefault="00F56376">
      <w:pPr>
        <w:pStyle w:val="Texttitel"/>
      </w:pPr>
      <w:r>
        <w:t>Kommentar</w:t>
      </w:r>
    </w:p>
    <w:p w14:paraId="274E8517" w14:textId="77777777" w:rsidR="00795E60" w:rsidRDefault="00F56376">
      <w:pPr>
        <w:pStyle w:val="BodyText"/>
        <w:widowControl w:val="0"/>
      </w:pPr>
      <w:r>
        <w:t>Handlingsplanen bygger på 14 åtgärder och i helårsuppföljningen kan13 åtgärder anses som uppfyllda. En åtgärd (0,2 Mnkr) bedöms inte ge några synliga effekter på helhetsnivån inom Region Örebro län då det avser flytt av tjänst till förvaltningskansliet som köps tillbaka av verksamheten inom Kulturnämnden.</w:t>
      </w:r>
    </w:p>
    <w:p w14:paraId="0A549CC0" w14:textId="77777777" w:rsidR="00795E60" w:rsidRDefault="00F56376">
      <w:pPr>
        <w:pStyle w:val="BodyText"/>
        <w:widowControl w:val="0"/>
      </w:pPr>
      <w:r>
        <w:t xml:space="preserve">För 2025 visar Kulturnämndens resultat att nämnden lämnar ett överskott på 1,1 </w:t>
      </w:r>
      <w:r>
        <w:t>miljoner kronor. I och med detta överskott har verksamheten hanterat bortfallet i handlingsplanen på 0,2 miljoner kronor.</w:t>
      </w:r>
    </w:p>
    <w:p w14:paraId="6B0E199C" w14:textId="77777777" w:rsidR="00795E60" w:rsidRDefault="00F56376">
      <w:pPr>
        <w:pStyle w:val="BodyText"/>
        <w:widowControl w:val="0"/>
      </w:pPr>
      <w:r>
        <w:t>Vid helårsuppföljningen av handlingsplanen 2025 bedöms det att inga ytterligare åtgärder är nödvändiga för att Kulturnämnden ska säkerställa en långsiktig ekonomi i balans.</w:t>
      </w:r>
    </w:p>
    <w:p w14:paraId="16F967CA" w14:textId="77777777" w:rsidR="00795E60" w:rsidRDefault="00F56376">
      <w:pPr>
        <w:pStyle w:val="Rubrik4"/>
      </w:pPr>
      <w:r>
        <w:t>Uppdrag: Nämnden ska upprätta och genomföra ekonomisk handlingsplan i syfte att bibehålla eller nå ekonomisk balans. Handlingsplanen ska vara omsatt i konkreta, hållbara och långsiktiga åtgärder och kan avse både kostnadsreduceringar och intäktsförstärkningar. Åtgärderna ska beskrivas med ekonomisk och verksamhetsmässiga konsekvenser. Uppföljning av handlingsplanen ska vara en del av nämndens del- och årsrapportering till regionstyrelsen.</w:t>
      </w:r>
    </w:p>
    <w:p w14:paraId="790F7C6F" w14:textId="77777777" w:rsidR="00795E60" w:rsidRDefault="00F56376">
      <w:pPr>
        <w:pStyle w:val="Texttitel"/>
      </w:pPr>
      <w:r>
        <w:t>Kommentar</w:t>
      </w:r>
    </w:p>
    <w:p w14:paraId="6225962C" w14:textId="77777777" w:rsidR="00795E60" w:rsidRDefault="00F56376">
      <w:pPr>
        <w:pStyle w:val="BodyText"/>
        <w:widowControl w:val="0"/>
      </w:pPr>
      <w:r>
        <w:t>För att säkerställa en ekonomisk balans har en handlingsplan för ekonomi i balans tagit fram och beslutades i nämnden i samband med att verksamhetsplan 2024 beslutades. Nämnden kommer enligt helårsrapporten att presentera en ekonomi i balans för 2025. Enligt uppföljning av handlingsplanen följer nämnden den plan som ligger och en ekonomi i balans uppfylldes redan under 2024. I och med att nämnden redovisat många år med överskott mot budget samt följer beslutad handlingsplan bedöms uppdraget och målet som he</w:t>
      </w:r>
      <w:r>
        <w:t>lt uppfyllt.</w:t>
      </w:r>
    </w:p>
    <w:p w14:paraId="56FF0CE5" w14:textId="77777777" w:rsidR="00795E60" w:rsidRDefault="00F56376">
      <w:pPr>
        <w:pStyle w:val="BodyText"/>
        <w:widowControl w:val="0"/>
        <w:numPr>
          <w:ilvl w:val="0"/>
          <w:numId w:val="19"/>
        </w:numPr>
      </w:pPr>
      <w:r>
        <w:t>Uppdraget är flerårigt och uppdragets del av innevarande år har genomförts.</w:t>
      </w:r>
    </w:p>
    <w:p w14:paraId="119E9126" w14:textId="77777777" w:rsidR="00795E60" w:rsidRDefault="00F56376">
      <w:pPr>
        <w:pStyle w:val="Rubrik3"/>
      </w:pPr>
      <w:r>
        <w:t>Beredskap och säkerhet</w:t>
      </w:r>
    </w:p>
    <w:p w14:paraId="0B331E1F" w14:textId="77777777" w:rsidR="00795E60" w:rsidRDefault="00F56376">
      <w:pPr>
        <w:pStyle w:val="Rubrik4"/>
      </w:pPr>
      <w:r>
        <w:t>Uppdrag: Nr 57. Att beredskaps- och säkerhetsfrågor beaktas i de sammanhang där det behövs.</w:t>
      </w:r>
    </w:p>
    <w:p w14:paraId="43175165" w14:textId="77777777" w:rsidR="00795E60" w:rsidRDefault="00F56376">
      <w:pPr>
        <w:pStyle w:val="Texttitel"/>
      </w:pPr>
      <w:r>
        <w:t>Kommentar</w:t>
      </w:r>
    </w:p>
    <w:p w14:paraId="709A6A21" w14:textId="77777777" w:rsidR="00795E60" w:rsidRDefault="00F56376">
      <w:pPr>
        <w:pStyle w:val="BodyText"/>
        <w:widowControl w:val="0"/>
      </w:pPr>
      <w:r>
        <w:t>Arbetet kring detta uppdrag kommer att vara ständigt pågående och består av flertalet olika aktiviteter. De mest prioriterade uppdragen i nuläget beskrivs nedan.</w:t>
      </w:r>
    </w:p>
    <w:p w14:paraId="6EE6570A" w14:textId="77777777" w:rsidR="00795E60" w:rsidRDefault="00F56376">
      <w:pPr>
        <w:pStyle w:val="BodyText"/>
        <w:widowControl w:val="0"/>
      </w:pPr>
      <w:r>
        <w:t>Krigsorganisationen för Regional utveckling beslutades av förvaltningschef 14 april 2025. Uppdraget är därmed genomfört.</w:t>
      </w:r>
    </w:p>
    <w:p w14:paraId="15A61FEF" w14:textId="77777777" w:rsidR="00795E60" w:rsidRDefault="00F56376">
      <w:pPr>
        <w:pStyle w:val="BodyText"/>
        <w:widowControl w:val="0"/>
      </w:pPr>
      <w:r>
        <w:t>Kontinuitetshanteringsarbetet kommer att starta under våren 2026 då processledare inom kontinuitetshantering har utbildats under 2025. Detta arbete är omfattande och kräver tid av verksamheterna. Det är också ett arbete som ständigt behöver vara aktivt utifrån yttre faktorer och förändringar. Uppdraget är inte genomfört.</w:t>
      </w:r>
    </w:p>
    <w:p w14:paraId="2123CCB2" w14:textId="77777777" w:rsidR="00795E60" w:rsidRDefault="00F56376">
      <w:pPr>
        <w:pStyle w:val="BodyText"/>
        <w:widowControl w:val="0"/>
      </w:pPr>
      <w:r>
        <w:t>Örebro läns regionala råd för totalförsvar har gett länets aktörer ett uppdrag att formulera utbildnings- och övningsplaner för verksamheterna. En utbildnings- och övningsplan för Regional utveckling kommer att tas fram, där de utbildningsinsatser inom beredskap och säkerhet som är aktuella för förvaltningens medarbetare kommer att beskrivas. Detta arbete har påbörjats och kommer att slutföras under 2026.</w:t>
      </w:r>
    </w:p>
    <w:p w14:paraId="75709D55" w14:textId="77777777" w:rsidR="00795E60" w:rsidRDefault="00F56376">
      <w:pPr>
        <w:pStyle w:val="BodyText"/>
        <w:widowControl w:val="0"/>
      </w:pPr>
      <w:r>
        <w:lastRenderedPageBreak/>
        <w:t>Uppdatering av ”Rutin för kris och allvarlig händelse för Regional utveckling” har genomförts. Denna behöver dock årligen ses över och eventuellt revideras.</w:t>
      </w:r>
    </w:p>
    <w:p w14:paraId="7C50A975" w14:textId="77777777" w:rsidR="00795E60" w:rsidRDefault="00F56376">
      <w:pPr>
        <w:pStyle w:val="BodyText"/>
        <w:widowControl w:val="0"/>
      </w:pPr>
      <w:r>
        <w:t>En plan för särskild och extraordinär händelse för Regional utveckling ska tas fram under 2026. Detta är ett dokument som beskriver exempelvis hur organisationen ska agera, organisera sig och kommunicera vid en allvarlig krissituation eller större störning.</w:t>
      </w:r>
    </w:p>
    <w:p w14:paraId="3D81D6C7" w14:textId="77777777" w:rsidR="00795E60" w:rsidRDefault="00F56376">
      <w:pPr>
        <w:pStyle w:val="BodyText"/>
        <w:widowControl w:val="0"/>
        <w:numPr>
          <w:ilvl w:val="0"/>
          <w:numId w:val="19"/>
        </w:numPr>
      </w:pPr>
      <w:r>
        <w:t>Uppdraget är flerårigt och uppdragets del av innevarande år har genomförts.</w:t>
      </w:r>
    </w:p>
    <w:p w14:paraId="39197213" w14:textId="77777777" w:rsidR="00795E60" w:rsidRDefault="00F56376">
      <w:pPr>
        <w:pStyle w:val="Rubrik3"/>
      </w:pPr>
      <w:r>
        <w:t>Motverka välfärdsbrottslighet</w:t>
      </w:r>
    </w:p>
    <w:p w14:paraId="203A1E51" w14:textId="77777777" w:rsidR="00795E60" w:rsidRDefault="00F56376">
      <w:pPr>
        <w:pStyle w:val="Rubrik4"/>
      </w:pPr>
      <w:r>
        <w:t xml:space="preserve">Uppdrag: Nr 58. Att förebygga och motverka </w:t>
      </w:r>
      <w:r>
        <w:t>välfärdsbrottslighet.</w:t>
      </w:r>
    </w:p>
    <w:p w14:paraId="70A9D3FA" w14:textId="77777777" w:rsidR="00795E60" w:rsidRDefault="00F56376">
      <w:pPr>
        <w:pStyle w:val="Texttitel"/>
      </w:pPr>
      <w:r>
        <w:t>Kommentar</w:t>
      </w:r>
    </w:p>
    <w:p w14:paraId="3E3613C2" w14:textId="77777777" w:rsidR="00795E60" w:rsidRDefault="00F56376">
      <w:pPr>
        <w:pStyle w:val="BodyText"/>
        <w:widowControl w:val="0"/>
      </w:pPr>
      <w:r>
        <w:t>Under året har kulturnämnden lyft frågor kring kontroll av de aktörer som får föreningsmedel eller andra bidrag från Region Örebro län. Det finns redan idag tydliga rutiner och uppföljningssystem kopplat till de medel som fördelas. För att ytterligare stärka arbetet kommer kontrollerna av den ekonomiska redovisningen att förbättras, särskilt vad gäller studiebidrag, föreningsbidrag och bidrag inom kultursamverkansmodellen. Under hösten 2025 deltog tjänstepersoner från Område kultur och ideell sektor i en na</w:t>
      </w:r>
      <w:r>
        <w:t>tionell konferens om välfärdsbrottslighet.</w:t>
      </w:r>
    </w:p>
    <w:p w14:paraId="3BA0CFB8" w14:textId="77777777" w:rsidR="00795E60" w:rsidRDefault="00F56376">
      <w:pPr>
        <w:pStyle w:val="BodyText"/>
        <w:widowControl w:val="0"/>
        <w:numPr>
          <w:ilvl w:val="0"/>
          <w:numId w:val="19"/>
        </w:numPr>
      </w:pPr>
      <w:r>
        <w:t>Uppdraget är flerårigt och uppdragets del av innevarande år har genomförts.</w:t>
      </w:r>
    </w:p>
    <w:p w14:paraId="234DA24F" w14:textId="77777777" w:rsidR="00795E60" w:rsidRDefault="00F56376">
      <w:pPr>
        <w:pStyle w:val="Rubrik1"/>
      </w:pPr>
      <w:bookmarkStart w:id="5" w:name="_Toc220678295"/>
      <w:r>
        <w:t>Ekonomi</w:t>
      </w:r>
      <w:bookmarkEnd w:id="5"/>
    </w:p>
    <w:p w14:paraId="745869B7" w14:textId="77777777" w:rsidR="00795E60" w:rsidRDefault="00F56376">
      <w:pPr>
        <w:pStyle w:val="Rubrik2"/>
      </w:pPr>
      <w:bookmarkStart w:id="6" w:name="_Toc220678296"/>
      <w:r>
        <w:t>Resultatrapport kulturnämnden</w:t>
      </w:r>
      <w:bookmarkEnd w:id="6"/>
    </w:p>
    <w:p w14:paraId="7EDC9A72" w14:textId="77777777" w:rsidR="00795E60" w:rsidRDefault="00F56376">
      <w:pPr>
        <w:pStyle w:val="Rubrik3"/>
      </w:pPr>
      <w:r>
        <w:t>Resultatrapport</w:t>
      </w:r>
    </w:p>
    <w:tbl>
      <w:tblPr>
        <w:tblStyle w:val="Tabellrutnt"/>
        <w:tblOverlap w:val="never"/>
        <w:tblW w:w="0" w:type="auto"/>
        <w:tblLayout w:type="fixed"/>
        <w:tblLook w:val="04A0" w:firstRow="1" w:lastRow="0" w:firstColumn="1" w:lastColumn="0" w:noHBand="0" w:noVBand="1"/>
      </w:tblPr>
      <w:tblGrid>
        <w:gridCol w:w="3181"/>
        <w:gridCol w:w="1349"/>
        <w:gridCol w:w="1253"/>
        <w:gridCol w:w="1349"/>
        <w:gridCol w:w="1253"/>
        <w:gridCol w:w="1253"/>
      </w:tblGrid>
      <w:tr w:rsidR="00FC2AD8" w14:paraId="2B3B17D3" w14:textId="77777777">
        <w:trPr>
          <w:cantSplit w:val="0"/>
          <w:tblHeader/>
        </w:trPr>
        <w:tc>
          <w:tcPr>
            <w:tcW w:w="3181" w:type="dxa"/>
            <w:tcBorders>
              <w:top w:val="nil"/>
              <w:left w:val="nil"/>
              <w:bottom w:val="single" w:sz="4" w:space="0" w:color="auto"/>
              <w:right w:val="nil"/>
            </w:tcBorders>
            <w:shd w:val="clear" w:color="auto" w:fill="E1E9F2"/>
            <w:vAlign w:val="center"/>
          </w:tcPr>
          <w:p w14:paraId="701E091D" w14:textId="77777777" w:rsidR="00795E60" w:rsidRDefault="00F56376">
            <w:pPr>
              <w:pStyle w:val="Tabellcell"/>
            </w:pPr>
            <w:r>
              <w:rPr>
                <w:b/>
              </w:rPr>
              <w:t>Belopp i mnkr</w:t>
            </w:r>
          </w:p>
        </w:tc>
        <w:tc>
          <w:tcPr>
            <w:tcW w:w="1349" w:type="dxa"/>
            <w:tcBorders>
              <w:top w:val="nil"/>
              <w:left w:val="nil"/>
              <w:bottom w:val="single" w:sz="4" w:space="0" w:color="auto"/>
              <w:right w:val="nil"/>
            </w:tcBorders>
            <w:shd w:val="clear" w:color="auto" w:fill="E1E9F2"/>
            <w:vAlign w:val="center"/>
          </w:tcPr>
          <w:p w14:paraId="4B50878F" w14:textId="77777777" w:rsidR="00795E60" w:rsidRDefault="00F56376">
            <w:pPr>
              <w:pStyle w:val="Tabellcell"/>
              <w:jc w:val="right"/>
            </w:pPr>
            <w:r>
              <w:rPr>
                <w:b/>
              </w:rPr>
              <w:t>Utfall</w:t>
            </w:r>
          </w:p>
        </w:tc>
        <w:tc>
          <w:tcPr>
            <w:tcW w:w="1253" w:type="dxa"/>
            <w:tcBorders>
              <w:top w:val="nil"/>
              <w:left w:val="nil"/>
              <w:bottom w:val="single" w:sz="4" w:space="0" w:color="auto"/>
              <w:right w:val="nil"/>
            </w:tcBorders>
            <w:shd w:val="clear" w:color="auto" w:fill="E1E9F2"/>
            <w:vAlign w:val="center"/>
          </w:tcPr>
          <w:p w14:paraId="6B6D53AF" w14:textId="77777777" w:rsidR="00795E60" w:rsidRDefault="00F56376">
            <w:pPr>
              <w:pStyle w:val="Tabellcell"/>
              <w:jc w:val="right"/>
            </w:pPr>
            <w:r>
              <w:rPr>
                <w:b/>
              </w:rPr>
              <w:t>Budget</w:t>
            </w:r>
          </w:p>
        </w:tc>
        <w:tc>
          <w:tcPr>
            <w:tcW w:w="1349" w:type="dxa"/>
            <w:tcBorders>
              <w:top w:val="nil"/>
              <w:left w:val="nil"/>
              <w:bottom w:val="single" w:sz="4" w:space="0" w:color="auto"/>
              <w:right w:val="nil"/>
            </w:tcBorders>
            <w:shd w:val="clear" w:color="auto" w:fill="E1E9F2"/>
            <w:vAlign w:val="center"/>
          </w:tcPr>
          <w:p w14:paraId="5C305F80" w14:textId="77777777" w:rsidR="00795E60" w:rsidRDefault="00F56376">
            <w:pPr>
              <w:pStyle w:val="Tabellcell"/>
              <w:jc w:val="right"/>
            </w:pPr>
            <w:r>
              <w:rPr>
                <w:b/>
              </w:rPr>
              <w:t>Utfall fg år</w:t>
            </w:r>
          </w:p>
        </w:tc>
        <w:tc>
          <w:tcPr>
            <w:tcW w:w="1253" w:type="dxa"/>
            <w:tcBorders>
              <w:top w:val="nil"/>
              <w:left w:val="nil"/>
              <w:bottom w:val="single" w:sz="4" w:space="0" w:color="auto"/>
              <w:right w:val="nil"/>
            </w:tcBorders>
            <w:shd w:val="clear" w:color="auto" w:fill="E1E9F2"/>
            <w:vAlign w:val="center"/>
          </w:tcPr>
          <w:p w14:paraId="46CCA650" w14:textId="77777777" w:rsidR="00795E60" w:rsidRDefault="00F56376">
            <w:pPr>
              <w:pStyle w:val="Tabellcell"/>
              <w:jc w:val="right"/>
            </w:pPr>
            <w:r>
              <w:rPr>
                <w:b/>
              </w:rPr>
              <w:t>Budget- avvikelse</w:t>
            </w:r>
          </w:p>
        </w:tc>
        <w:tc>
          <w:tcPr>
            <w:tcW w:w="1253" w:type="dxa"/>
            <w:tcBorders>
              <w:top w:val="nil"/>
              <w:left w:val="nil"/>
              <w:bottom w:val="single" w:sz="4" w:space="0" w:color="auto"/>
              <w:right w:val="nil"/>
            </w:tcBorders>
            <w:shd w:val="clear" w:color="auto" w:fill="E1E9F2"/>
            <w:vAlign w:val="center"/>
          </w:tcPr>
          <w:p w14:paraId="34152BB9" w14:textId="77777777" w:rsidR="00795E60" w:rsidRDefault="00F56376">
            <w:pPr>
              <w:pStyle w:val="Tabellcell"/>
              <w:jc w:val="right"/>
            </w:pPr>
            <w:r>
              <w:rPr>
                <w:b/>
              </w:rPr>
              <w:t>Utfalls- avvikelse</w:t>
            </w:r>
          </w:p>
        </w:tc>
      </w:tr>
      <w:tr w:rsidR="00FC2AD8" w14:paraId="7CCE9160" w14:textId="77777777">
        <w:trPr>
          <w:cantSplit w:val="0"/>
        </w:trPr>
        <w:tc>
          <w:tcPr>
            <w:tcW w:w="3181" w:type="dxa"/>
            <w:tcBorders>
              <w:top w:val="single" w:sz="4" w:space="0" w:color="auto"/>
              <w:left w:val="nil"/>
              <w:bottom w:val="nil"/>
              <w:right w:val="nil"/>
            </w:tcBorders>
            <w:shd w:val="clear" w:color="auto" w:fill="FFFFFF"/>
            <w:vAlign w:val="center"/>
          </w:tcPr>
          <w:p w14:paraId="150DB54C" w14:textId="77777777" w:rsidR="00795E60" w:rsidRDefault="00F56376">
            <w:pPr>
              <w:pStyle w:val="Tabellcell"/>
            </w:pPr>
            <w:r>
              <w:t>Erhållna bidrag</w:t>
            </w:r>
          </w:p>
        </w:tc>
        <w:tc>
          <w:tcPr>
            <w:tcW w:w="1349" w:type="dxa"/>
            <w:tcBorders>
              <w:top w:val="single" w:sz="4" w:space="0" w:color="auto"/>
              <w:left w:val="nil"/>
              <w:bottom w:val="nil"/>
              <w:right w:val="nil"/>
            </w:tcBorders>
            <w:shd w:val="clear" w:color="auto" w:fill="FFFFFF"/>
            <w:vAlign w:val="center"/>
          </w:tcPr>
          <w:p w14:paraId="49F0EE90" w14:textId="77777777" w:rsidR="00795E60" w:rsidRDefault="00F56376">
            <w:pPr>
              <w:pStyle w:val="Tabellcell"/>
              <w:jc w:val="right"/>
            </w:pPr>
            <w:r>
              <w:t>58.7</w:t>
            </w:r>
          </w:p>
        </w:tc>
        <w:tc>
          <w:tcPr>
            <w:tcW w:w="1253" w:type="dxa"/>
            <w:tcBorders>
              <w:top w:val="single" w:sz="4" w:space="0" w:color="auto"/>
              <w:left w:val="nil"/>
              <w:bottom w:val="nil"/>
              <w:right w:val="nil"/>
            </w:tcBorders>
            <w:shd w:val="clear" w:color="auto" w:fill="FFFFFF"/>
            <w:vAlign w:val="center"/>
          </w:tcPr>
          <w:p w14:paraId="3AFCEEDE" w14:textId="77777777" w:rsidR="00795E60" w:rsidRDefault="00F56376">
            <w:pPr>
              <w:pStyle w:val="Tabellcell"/>
              <w:jc w:val="right"/>
            </w:pPr>
            <w:r>
              <w:t>56.2</w:t>
            </w:r>
          </w:p>
        </w:tc>
        <w:tc>
          <w:tcPr>
            <w:tcW w:w="1349" w:type="dxa"/>
            <w:tcBorders>
              <w:top w:val="single" w:sz="4" w:space="0" w:color="auto"/>
              <w:left w:val="nil"/>
              <w:bottom w:val="nil"/>
              <w:right w:val="nil"/>
            </w:tcBorders>
            <w:shd w:val="clear" w:color="auto" w:fill="FFFFFF"/>
            <w:vAlign w:val="center"/>
          </w:tcPr>
          <w:p w14:paraId="14648B59" w14:textId="77777777" w:rsidR="00795E60" w:rsidRDefault="00F56376">
            <w:pPr>
              <w:pStyle w:val="Tabellcell"/>
              <w:jc w:val="right"/>
            </w:pPr>
            <w:r>
              <w:t>58.1</w:t>
            </w:r>
          </w:p>
        </w:tc>
        <w:tc>
          <w:tcPr>
            <w:tcW w:w="1253" w:type="dxa"/>
            <w:tcBorders>
              <w:top w:val="single" w:sz="4" w:space="0" w:color="auto"/>
              <w:left w:val="nil"/>
              <w:bottom w:val="nil"/>
              <w:right w:val="nil"/>
            </w:tcBorders>
            <w:shd w:val="clear" w:color="auto" w:fill="FFFFFF"/>
            <w:vAlign w:val="center"/>
          </w:tcPr>
          <w:p w14:paraId="7042A0DB" w14:textId="77777777" w:rsidR="00795E60" w:rsidRDefault="00F56376">
            <w:pPr>
              <w:pStyle w:val="Tabellcell"/>
              <w:jc w:val="right"/>
            </w:pPr>
            <w:r>
              <w:t>2.5</w:t>
            </w:r>
          </w:p>
        </w:tc>
        <w:tc>
          <w:tcPr>
            <w:tcW w:w="1253" w:type="dxa"/>
            <w:tcBorders>
              <w:top w:val="single" w:sz="4" w:space="0" w:color="auto"/>
              <w:left w:val="nil"/>
              <w:bottom w:val="nil"/>
              <w:right w:val="nil"/>
            </w:tcBorders>
            <w:shd w:val="clear" w:color="auto" w:fill="FFFFFF"/>
            <w:vAlign w:val="center"/>
          </w:tcPr>
          <w:p w14:paraId="4721F55B" w14:textId="77777777" w:rsidR="00795E60" w:rsidRDefault="00F56376">
            <w:pPr>
              <w:pStyle w:val="Tabellcell"/>
              <w:jc w:val="right"/>
            </w:pPr>
            <w:r>
              <w:t>0.7</w:t>
            </w:r>
          </w:p>
        </w:tc>
      </w:tr>
      <w:tr w:rsidR="00FC2AD8" w14:paraId="53BBEADA" w14:textId="77777777">
        <w:trPr>
          <w:cantSplit w:val="0"/>
        </w:trPr>
        <w:tc>
          <w:tcPr>
            <w:tcW w:w="3181" w:type="dxa"/>
            <w:tcBorders>
              <w:top w:val="nil"/>
              <w:left w:val="nil"/>
              <w:bottom w:val="single" w:sz="4" w:space="0" w:color="auto"/>
              <w:right w:val="nil"/>
            </w:tcBorders>
            <w:shd w:val="clear" w:color="auto" w:fill="FFFFFF"/>
            <w:vAlign w:val="center"/>
          </w:tcPr>
          <w:p w14:paraId="1BAC109B" w14:textId="77777777" w:rsidR="00795E60" w:rsidRDefault="00F56376">
            <w:pPr>
              <w:pStyle w:val="Tabellcell"/>
            </w:pPr>
            <w:r>
              <w:t>Övriga intäkter</w:t>
            </w:r>
          </w:p>
        </w:tc>
        <w:tc>
          <w:tcPr>
            <w:tcW w:w="1349" w:type="dxa"/>
            <w:tcBorders>
              <w:top w:val="nil"/>
              <w:left w:val="nil"/>
              <w:bottom w:val="single" w:sz="4" w:space="0" w:color="auto"/>
              <w:right w:val="nil"/>
            </w:tcBorders>
            <w:shd w:val="clear" w:color="auto" w:fill="FFFFFF"/>
            <w:vAlign w:val="center"/>
          </w:tcPr>
          <w:p w14:paraId="3305C02F" w14:textId="77777777" w:rsidR="00795E60" w:rsidRDefault="00F56376">
            <w:pPr>
              <w:pStyle w:val="Tabellcell"/>
              <w:jc w:val="right"/>
            </w:pPr>
            <w:r>
              <w:t>0.1</w:t>
            </w:r>
          </w:p>
        </w:tc>
        <w:tc>
          <w:tcPr>
            <w:tcW w:w="1253" w:type="dxa"/>
            <w:tcBorders>
              <w:top w:val="nil"/>
              <w:left w:val="nil"/>
              <w:bottom w:val="single" w:sz="4" w:space="0" w:color="auto"/>
              <w:right w:val="nil"/>
            </w:tcBorders>
            <w:shd w:val="clear" w:color="auto" w:fill="FFFFFF"/>
            <w:vAlign w:val="center"/>
          </w:tcPr>
          <w:p w14:paraId="7EAA958D" w14:textId="77777777" w:rsidR="00795E60" w:rsidRDefault="00F56376">
            <w:pPr>
              <w:pStyle w:val="Tabellcell"/>
              <w:jc w:val="right"/>
            </w:pPr>
            <w:r>
              <w:t>0.0</w:t>
            </w:r>
          </w:p>
        </w:tc>
        <w:tc>
          <w:tcPr>
            <w:tcW w:w="1349" w:type="dxa"/>
            <w:tcBorders>
              <w:top w:val="nil"/>
              <w:left w:val="nil"/>
              <w:bottom w:val="single" w:sz="4" w:space="0" w:color="auto"/>
              <w:right w:val="nil"/>
            </w:tcBorders>
            <w:shd w:val="clear" w:color="auto" w:fill="FFFFFF"/>
            <w:vAlign w:val="center"/>
          </w:tcPr>
          <w:p w14:paraId="71383130" w14:textId="77777777" w:rsidR="00795E60" w:rsidRDefault="00F56376">
            <w:pPr>
              <w:pStyle w:val="Tabellcell"/>
              <w:jc w:val="right"/>
            </w:pPr>
            <w:r>
              <w:t>0.3</w:t>
            </w:r>
          </w:p>
        </w:tc>
        <w:tc>
          <w:tcPr>
            <w:tcW w:w="1253" w:type="dxa"/>
            <w:tcBorders>
              <w:top w:val="nil"/>
              <w:left w:val="nil"/>
              <w:bottom w:val="single" w:sz="4" w:space="0" w:color="auto"/>
              <w:right w:val="nil"/>
            </w:tcBorders>
            <w:shd w:val="clear" w:color="auto" w:fill="FFFFFF"/>
            <w:vAlign w:val="center"/>
          </w:tcPr>
          <w:p w14:paraId="13C3FF18" w14:textId="77777777" w:rsidR="00795E60" w:rsidRDefault="00F56376">
            <w:pPr>
              <w:pStyle w:val="Tabellcell"/>
              <w:jc w:val="right"/>
            </w:pPr>
            <w:r>
              <w:t>0.1</w:t>
            </w:r>
          </w:p>
        </w:tc>
        <w:tc>
          <w:tcPr>
            <w:tcW w:w="1253" w:type="dxa"/>
            <w:tcBorders>
              <w:top w:val="nil"/>
              <w:left w:val="nil"/>
              <w:bottom w:val="single" w:sz="4" w:space="0" w:color="auto"/>
              <w:right w:val="nil"/>
            </w:tcBorders>
            <w:shd w:val="clear" w:color="auto" w:fill="FFFFFF"/>
            <w:vAlign w:val="center"/>
          </w:tcPr>
          <w:p w14:paraId="611DEA8C" w14:textId="77777777" w:rsidR="00795E60" w:rsidRDefault="00F56376">
            <w:pPr>
              <w:pStyle w:val="Tabellcell"/>
              <w:jc w:val="right"/>
            </w:pPr>
            <w:r>
              <w:t>-0.2</w:t>
            </w:r>
          </w:p>
        </w:tc>
      </w:tr>
      <w:tr w:rsidR="00FC2AD8" w14:paraId="20D74A04" w14:textId="77777777">
        <w:trPr>
          <w:cantSplit w:val="0"/>
        </w:trPr>
        <w:tc>
          <w:tcPr>
            <w:tcW w:w="3181" w:type="dxa"/>
            <w:tcBorders>
              <w:top w:val="single" w:sz="4" w:space="0" w:color="auto"/>
              <w:left w:val="nil"/>
              <w:bottom w:val="single" w:sz="4" w:space="0" w:color="auto"/>
              <w:right w:val="nil"/>
            </w:tcBorders>
            <w:shd w:val="clear" w:color="auto" w:fill="FFFFFF"/>
            <w:vAlign w:val="center"/>
          </w:tcPr>
          <w:p w14:paraId="6B2D9FE9" w14:textId="77777777" w:rsidR="00795E60" w:rsidRDefault="00F56376">
            <w:pPr>
              <w:pStyle w:val="Tabellcell"/>
            </w:pPr>
            <w:r>
              <w:rPr>
                <w:b/>
              </w:rPr>
              <w:t>Summa Intäkter</w:t>
            </w:r>
          </w:p>
        </w:tc>
        <w:tc>
          <w:tcPr>
            <w:tcW w:w="1349" w:type="dxa"/>
            <w:tcBorders>
              <w:top w:val="single" w:sz="4" w:space="0" w:color="auto"/>
              <w:left w:val="nil"/>
              <w:bottom w:val="single" w:sz="4" w:space="0" w:color="auto"/>
              <w:right w:val="nil"/>
            </w:tcBorders>
            <w:shd w:val="clear" w:color="auto" w:fill="FFFFFF"/>
            <w:vAlign w:val="center"/>
          </w:tcPr>
          <w:p w14:paraId="505C8B01" w14:textId="77777777" w:rsidR="00795E60" w:rsidRDefault="00F56376">
            <w:pPr>
              <w:pStyle w:val="Tabellcell"/>
              <w:jc w:val="right"/>
            </w:pPr>
            <w:r>
              <w:rPr>
                <w:b/>
              </w:rPr>
              <w:t>58.8</w:t>
            </w:r>
          </w:p>
        </w:tc>
        <w:tc>
          <w:tcPr>
            <w:tcW w:w="1253" w:type="dxa"/>
            <w:tcBorders>
              <w:top w:val="single" w:sz="4" w:space="0" w:color="auto"/>
              <w:left w:val="nil"/>
              <w:bottom w:val="single" w:sz="4" w:space="0" w:color="auto"/>
              <w:right w:val="nil"/>
            </w:tcBorders>
            <w:shd w:val="clear" w:color="auto" w:fill="FFFFFF"/>
            <w:vAlign w:val="center"/>
          </w:tcPr>
          <w:p w14:paraId="094D8BCB" w14:textId="77777777" w:rsidR="00795E60" w:rsidRDefault="00F56376">
            <w:pPr>
              <w:pStyle w:val="Tabellcell"/>
              <w:jc w:val="right"/>
            </w:pPr>
            <w:r>
              <w:rPr>
                <w:b/>
              </w:rPr>
              <w:t>56.2</w:t>
            </w:r>
          </w:p>
        </w:tc>
        <w:tc>
          <w:tcPr>
            <w:tcW w:w="1349" w:type="dxa"/>
            <w:tcBorders>
              <w:top w:val="single" w:sz="4" w:space="0" w:color="auto"/>
              <w:left w:val="nil"/>
              <w:bottom w:val="single" w:sz="4" w:space="0" w:color="auto"/>
              <w:right w:val="nil"/>
            </w:tcBorders>
            <w:shd w:val="clear" w:color="auto" w:fill="FFFFFF"/>
            <w:vAlign w:val="center"/>
          </w:tcPr>
          <w:p w14:paraId="7EF8A9D5" w14:textId="77777777" w:rsidR="00795E60" w:rsidRDefault="00F56376">
            <w:pPr>
              <w:pStyle w:val="Tabellcell"/>
              <w:jc w:val="right"/>
            </w:pPr>
            <w:r>
              <w:rPr>
                <w:b/>
              </w:rPr>
              <w:t>58.4</w:t>
            </w:r>
          </w:p>
        </w:tc>
        <w:tc>
          <w:tcPr>
            <w:tcW w:w="1253" w:type="dxa"/>
            <w:tcBorders>
              <w:top w:val="single" w:sz="4" w:space="0" w:color="auto"/>
              <w:left w:val="nil"/>
              <w:bottom w:val="single" w:sz="4" w:space="0" w:color="auto"/>
              <w:right w:val="nil"/>
            </w:tcBorders>
            <w:shd w:val="clear" w:color="auto" w:fill="FFFFFF"/>
            <w:vAlign w:val="center"/>
          </w:tcPr>
          <w:p w14:paraId="24984E56" w14:textId="77777777" w:rsidR="00795E60" w:rsidRDefault="00F56376">
            <w:pPr>
              <w:pStyle w:val="Tabellcell"/>
              <w:jc w:val="right"/>
            </w:pPr>
            <w:r>
              <w:rPr>
                <w:b/>
              </w:rPr>
              <w:t>2.6</w:t>
            </w:r>
          </w:p>
        </w:tc>
        <w:tc>
          <w:tcPr>
            <w:tcW w:w="1253" w:type="dxa"/>
            <w:tcBorders>
              <w:top w:val="single" w:sz="4" w:space="0" w:color="auto"/>
              <w:left w:val="nil"/>
              <w:bottom w:val="single" w:sz="4" w:space="0" w:color="auto"/>
              <w:right w:val="nil"/>
            </w:tcBorders>
            <w:shd w:val="clear" w:color="auto" w:fill="FFFFFF"/>
            <w:vAlign w:val="center"/>
          </w:tcPr>
          <w:p w14:paraId="0201F9C2" w14:textId="77777777" w:rsidR="00795E60" w:rsidRDefault="00F56376">
            <w:pPr>
              <w:pStyle w:val="Tabellcell"/>
              <w:jc w:val="right"/>
            </w:pPr>
            <w:r>
              <w:rPr>
                <w:b/>
              </w:rPr>
              <w:t>0.5</w:t>
            </w:r>
          </w:p>
        </w:tc>
      </w:tr>
      <w:tr w:rsidR="00FC2AD8" w14:paraId="4D5B289C" w14:textId="77777777">
        <w:trPr>
          <w:cantSplit w:val="0"/>
        </w:trPr>
        <w:tc>
          <w:tcPr>
            <w:tcW w:w="3181" w:type="dxa"/>
            <w:tcBorders>
              <w:top w:val="single" w:sz="4" w:space="0" w:color="auto"/>
              <w:left w:val="nil"/>
              <w:bottom w:val="nil"/>
              <w:right w:val="nil"/>
            </w:tcBorders>
            <w:shd w:val="clear" w:color="auto" w:fill="FFFFFF"/>
            <w:vAlign w:val="center"/>
          </w:tcPr>
          <w:p w14:paraId="7E3F3A51" w14:textId="77777777" w:rsidR="00795E60" w:rsidRDefault="00F56376">
            <w:pPr>
              <w:pStyle w:val="Tabellcell"/>
            </w:pPr>
            <w:r>
              <w:t>Personalkostnader</w:t>
            </w:r>
          </w:p>
        </w:tc>
        <w:tc>
          <w:tcPr>
            <w:tcW w:w="1349" w:type="dxa"/>
            <w:tcBorders>
              <w:top w:val="single" w:sz="4" w:space="0" w:color="auto"/>
              <w:left w:val="nil"/>
              <w:bottom w:val="nil"/>
              <w:right w:val="nil"/>
            </w:tcBorders>
            <w:shd w:val="clear" w:color="auto" w:fill="FFFFFF"/>
            <w:vAlign w:val="center"/>
          </w:tcPr>
          <w:p w14:paraId="5AAD357A" w14:textId="77777777" w:rsidR="00795E60" w:rsidRDefault="00F56376">
            <w:pPr>
              <w:pStyle w:val="Tabellcell"/>
              <w:jc w:val="right"/>
            </w:pPr>
            <w:r>
              <w:t>-15.8</w:t>
            </w:r>
          </w:p>
        </w:tc>
        <w:tc>
          <w:tcPr>
            <w:tcW w:w="1253" w:type="dxa"/>
            <w:tcBorders>
              <w:top w:val="single" w:sz="4" w:space="0" w:color="auto"/>
              <w:left w:val="nil"/>
              <w:bottom w:val="nil"/>
              <w:right w:val="nil"/>
            </w:tcBorders>
            <w:shd w:val="clear" w:color="auto" w:fill="FFFFFF"/>
            <w:vAlign w:val="center"/>
          </w:tcPr>
          <w:p w14:paraId="41E9737E" w14:textId="77777777" w:rsidR="00795E60" w:rsidRDefault="00F56376">
            <w:pPr>
              <w:pStyle w:val="Tabellcell"/>
              <w:jc w:val="right"/>
            </w:pPr>
            <w:r>
              <w:t>-15.5</w:t>
            </w:r>
          </w:p>
        </w:tc>
        <w:tc>
          <w:tcPr>
            <w:tcW w:w="1349" w:type="dxa"/>
            <w:tcBorders>
              <w:top w:val="single" w:sz="4" w:space="0" w:color="auto"/>
              <w:left w:val="nil"/>
              <w:bottom w:val="nil"/>
              <w:right w:val="nil"/>
            </w:tcBorders>
            <w:shd w:val="clear" w:color="auto" w:fill="FFFFFF"/>
            <w:vAlign w:val="center"/>
          </w:tcPr>
          <w:p w14:paraId="34009160" w14:textId="77777777" w:rsidR="00795E60" w:rsidRDefault="00F56376">
            <w:pPr>
              <w:pStyle w:val="Tabellcell"/>
              <w:jc w:val="right"/>
            </w:pPr>
            <w:r>
              <w:t>-15.5</w:t>
            </w:r>
          </w:p>
        </w:tc>
        <w:tc>
          <w:tcPr>
            <w:tcW w:w="1253" w:type="dxa"/>
            <w:tcBorders>
              <w:top w:val="single" w:sz="4" w:space="0" w:color="auto"/>
              <w:left w:val="nil"/>
              <w:bottom w:val="nil"/>
              <w:right w:val="nil"/>
            </w:tcBorders>
            <w:shd w:val="clear" w:color="auto" w:fill="FFFFFF"/>
            <w:vAlign w:val="center"/>
          </w:tcPr>
          <w:p w14:paraId="14D5D93C" w14:textId="77777777" w:rsidR="00795E60" w:rsidRDefault="00F56376">
            <w:pPr>
              <w:pStyle w:val="Tabellcell"/>
              <w:jc w:val="right"/>
            </w:pPr>
            <w:r>
              <w:t>-0.3</w:t>
            </w:r>
          </w:p>
        </w:tc>
        <w:tc>
          <w:tcPr>
            <w:tcW w:w="1253" w:type="dxa"/>
            <w:tcBorders>
              <w:top w:val="single" w:sz="4" w:space="0" w:color="auto"/>
              <w:left w:val="nil"/>
              <w:bottom w:val="nil"/>
              <w:right w:val="nil"/>
            </w:tcBorders>
            <w:shd w:val="clear" w:color="auto" w:fill="FFFFFF"/>
            <w:vAlign w:val="center"/>
          </w:tcPr>
          <w:p w14:paraId="6AFB7F9A" w14:textId="77777777" w:rsidR="00795E60" w:rsidRDefault="00F56376">
            <w:pPr>
              <w:pStyle w:val="Tabellcell"/>
              <w:jc w:val="right"/>
            </w:pPr>
            <w:r>
              <w:t>-0.3</w:t>
            </w:r>
          </w:p>
        </w:tc>
      </w:tr>
      <w:tr w:rsidR="00FC2AD8" w14:paraId="1AA430FC" w14:textId="77777777">
        <w:trPr>
          <w:cantSplit w:val="0"/>
        </w:trPr>
        <w:tc>
          <w:tcPr>
            <w:tcW w:w="3181" w:type="dxa"/>
            <w:tcBorders>
              <w:top w:val="nil"/>
              <w:left w:val="nil"/>
              <w:bottom w:val="nil"/>
              <w:right w:val="nil"/>
            </w:tcBorders>
            <w:shd w:val="clear" w:color="auto" w:fill="FFFFFF"/>
            <w:vAlign w:val="center"/>
          </w:tcPr>
          <w:p w14:paraId="3D31D7A4" w14:textId="77777777" w:rsidR="00795E60" w:rsidRDefault="00F56376">
            <w:pPr>
              <w:pStyle w:val="Tabellcell"/>
            </w:pPr>
            <w:r>
              <w:t>Lämnade bidrag</w:t>
            </w:r>
          </w:p>
        </w:tc>
        <w:tc>
          <w:tcPr>
            <w:tcW w:w="1349" w:type="dxa"/>
            <w:tcBorders>
              <w:top w:val="nil"/>
              <w:left w:val="nil"/>
              <w:bottom w:val="nil"/>
              <w:right w:val="nil"/>
            </w:tcBorders>
            <w:shd w:val="clear" w:color="auto" w:fill="FFFFFF"/>
            <w:vAlign w:val="center"/>
          </w:tcPr>
          <w:p w14:paraId="3C2A88CB" w14:textId="77777777" w:rsidR="00795E60" w:rsidRDefault="00F56376">
            <w:pPr>
              <w:pStyle w:val="Tabellcell"/>
              <w:jc w:val="right"/>
            </w:pPr>
            <w:r>
              <w:t>-149.7</w:t>
            </w:r>
          </w:p>
        </w:tc>
        <w:tc>
          <w:tcPr>
            <w:tcW w:w="1253" w:type="dxa"/>
            <w:tcBorders>
              <w:top w:val="nil"/>
              <w:left w:val="nil"/>
              <w:bottom w:val="nil"/>
              <w:right w:val="nil"/>
            </w:tcBorders>
            <w:shd w:val="clear" w:color="auto" w:fill="FFFFFF"/>
            <w:vAlign w:val="center"/>
          </w:tcPr>
          <w:p w14:paraId="46CEA1E5" w14:textId="77777777" w:rsidR="00795E60" w:rsidRDefault="00F56376">
            <w:pPr>
              <w:pStyle w:val="Tabellcell"/>
              <w:jc w:val="right"/>
            </w:pPr>
            <w:r>
              <w:t>-144.5</w:t>
            </w:r>
          </w:p>
        </w:tc>
        <w:tc>
          <w:tcPr>
            <w:tcW w:w="1349" w:type="dxa"/>
            <w:tcBorders>
              <w:top w:val="nil"/>
              <w:left w:val="nil"/>
              <w:bottom w:val="nil"/>
              <w:right w:val="nil"/>
            </w:tcBorders>
            <w:shd w:val="clear" w:color="auto" w:fill="FFFFFF"/>
            <w:vAlign w:val="center"/>
          </w:tcPr>
          <w:p w14:paraId="0025B958" w14:textId="77777777" w:rsidR="00795E60" w:rsidRDefault="00F56376">
            <w:pPr>
              <w:pStyle w:val="Tabellcell"/>
              <w:jc w:val="right"/>
            </w:pPr>
            <w:r>
              <w:t>-138.1</w:t>
            </w:r>
          </w:p>
        </w:tc>
        <w:tc>
          <w:tcPr>
            <w:tcW w:w="1253" w:type="dxa"/>
            <w:tcBorders>
              <w:top w:val="nil"/>
              <w:left w:val="nil"/>
              <w:bottom w:val="nil"/>
              <w:right w:val="nil"/>
            </w:tcBorders>
            <w:shd w:val="clear" w:color="auto" w:fill="FFFFFF"/>
            <w:vAlign w:val="center"/>
          </w:tcPr>
          <w:p w14:paraId="42440EB4" w14:textId="77777777" w:rsidR="00795E60" w:rsidRDefault="00F56376">
            <w:pPr>
              <w:pStyle w:val="Tabellcell"/>
              <w:jc w:val="right"/>
            </w:pPr>
            <w:r>
              <w:t>-5.3</w:t>
            </w:r>
          </w:p>
        </w:tc>
        <w:tc>
          <w:tcPr>
            <w:tcW w:w="1253" w:type="dxa"/>
            <w:tcBorders>
              <w:top w:val="nil"/>
              <w:left w:val="nil"/>
              <w:bottom w:val="nil"/>
              <w:right w:val="nil"/>
            </w:tcBorders>
            <w:shd w:val="clear" w:color="auto" w:fill="FFFFFF"/>
            <w:vAlign w:val="center"/>
          </w:tcPr>
          <w:p w14:paraId="47F4EFE6" w14:textId="77777777" w:rsidR="00795E60" w:rsidRDefault="00F56376">
            <w:pPr>
              <w:pStyle w:val="Tabellcell"/>
              <w:jc w:val="right"/>
            </w:pPr>
            <w:r>
              <w:t>-11.7</w:t>
            </w:r>
          </w:p>
        </w:tc>
      </w:tr>
      <w:tr w:rsidR="00FC2AD8" w14:paraId="40B5199C" w14:textId="77777777">
        <w:trPr>
          <w:cantSplit w:val="0"/>
        </w:trPr>
        <w:tc>
          <w:tcPr>
            <w:tcW w:w="3181" w:type="dxa"/>
            <w:tcBorders>
              <w:top w:val="nil"/>
              <w:left w:val="nil"/>
              <w:bottom w:val="single" w:sz="4" w:space="0" w:color="auto"/>
              <w:right w:val="nil"/>
            </w:tcBorders>
            <w:shd w:val="clear" w:color="auto" w:fill="FFFFFF"/>
            <w:vAlign w:val="center"/>
          </w:tcPr>
          <w:p w14:paraId="27F7F2A3" w14:textId="77777777" w:rsidR="00795E60" w:rsidRDefault="00F56376">
            <w:pPr>
              <w:pStyle w:val="Tabellcell"/>
            </w:pPr>
            <w:r>
              <w:t xml:space="preserve">Övriga </w:t>
            </w:r>
            <w:r>
              <w:t>kostnader</w:t>
            </w:r>
          </w:p>
        </w:tc>
        <w:tc>
          <w:tcPr>
            <w:tcW w:w="1349" w:type="dxa"/>
            <w:tcBorders>
              <w:top w:val="nil"/>
              <w:left w:val="nil"/>
              <w:bottom w:val="single" w:sz="4" w:space="0" w:color="auto"/>
              <w:right w:val="nil"/>
            </w:tcBorders>
            <w:shd w:val="clear" w:color="auto" w:fill="FFFFFF"/>
            <w:vAlign w:val="center"/>
          </w:tcPr>
          <w:p w14:paraId="6E242ECE" w14:textId="77777777" w:rsidR="00795E60" w:rsidRDefault="00F56376">
            <w:pPr>
              <w:pStyle w:val="Tabellcell"/>
              <w:jc w:val="right"/>
            </w:pPr>
            <w:r>
              <w:t>-12.8</w:t>
            </w:r>
          </w:p>
        </w:tc>
        <w:tc>
          <w:tcPr>
            <w:tcW w:w="1253" w:type="dxa"/>
            <w:tcBorders>
              <w:top w:val="nil"/>
              <w:left w:val="nil"/>
              <w:bottom w:val="single" w:sz="4" w:space="0" w:color="auto"/>
              <w:right w:val="nil"/>
            </w:tcBorders>
            <w:shd w:val="clear" w:color="auto" w:fill="FFFFFF"/>
            <w:vAlign w:val="center"/>
          </w:tcPr>
          <w:p w14:paraId="7D247BA2" w14:textId="77777777" w:rsidR="00795E60" w:rsidRDefault="00F56376">
            <w:pPr>
              <w:pStyle w:val="Tabellcell"/>
              <w:jc w:val="right"/>
            </w:pPr>
            <w:r>
              <w:t>-16.9</w:t>
            </w:r>
          </w:p>
        </w:tc>
        <w:tc>
          <w:tcPr>
            <w:tcW w:w="1349" w:type="dxa"/>
            <w:tcBorders>
              <w:top w:val="nil"/>
              <w:left w:val="nil"/>
              <w:bottom w:val="single" w:sz="4" w:space="0" w:color="auto"/>
              <w:right w:val="nil"/>
            </w:tcBorders>
            <w:shd w:val="clear" w:color="auto" w:fill="FFFFFF"/>
            <w:vAlign w:val="center"/>
          </w:tcPr>
          <w:p w14:paraId="7BA7FE25" w14:textId="77777777" w:rsidR="00795E60" w:rsidRDefault="00F56376">
            <w:pPr>
              <w:pStyle w:val="Tabellcell"/>
              <w:jc w:val="right"/>
            </w:pPr>
            <w:r>
              <w:t>-11.1</w:t>
            </w:r>
          </w:p>
        </w:tc>
        <w:tc>
          <w:tcPr>
            <w:tcW w:w="1253" w:type="dxa"/>
            <w:tcBorders>
              <w:top w:val="nil"/>
              <w:left w:val="nil"/>
              <w:bottom w:val="single" w:sz="4" w:space="0" w:color="auto"/>
              <w:right w:val="nil"/>
            </w:tcBorders>
            <w:shd w:val="clear" w:color="auto" w:fill="FFFFFF"/>
            <w:vAlign w:val="center"/>
          </w:tcPr>
          <w:p w14:paraId="76CDBADD" w14:textId="77777777" w:rsidR="00795E60" w:rsidRDefault="00F56376">
            <w:pPr>
              <w:pStyle w:val="Tabellcell"/>
              <w:jc w:val="right"/>
            </w:pPr>
            <w:r>
              <w:t>4.1</w:t>
            </w:r>
          </w:p>
        </w:tc>
        <w:tc>
          <w:tcPr>
            <w:tcW w:w="1253" w:type="dxa"/>
            <w:tcBorders>
              <w:top w:val="nil"/>
              <w:left w:val="nil"/>
              <w:bottom w:val="single" w:sz="4" w:space="0" w:color="auto"/>
              <w:right w:val="nil"/>
            </w:tcBorders>
            <w:shd w:val="clear" w:color="auto" w:fill="FFFFFF"/>
            <w:vAlign w:val="center"/>
          </w:tcPr>
          <w:p w14:paraId="4D86A001" w14:textId="77777777" w:rsidR="00795E60" w:rsidRDefault="00F56376">
            <w:pPr>
              <w:pStyle w:val="Tabellcell"/>
              <w:jc w:val="right"/>
            </w:pPr>
            <w:r>
              <w:t>-1.6</w:t>
            </w:r>
          </w:p>
        </w:tc>
      </w:tr>
      <w:tr w:rsidR="00FC2AD8" w14:paraId="268BFDE7" w14:textId="77777777">
        <w:trPr>
          <w:cantSplit w:val="0"/>
        </w:trPr>
        <w:tc>
          <w:tcPr>
            <w:tcW w:w="3181" w:type="dxa"/>
            <w:tcBorders>
              <w:top w:val="single" w:sz="4" w:space="0" w:color="auto"/>
              <w:left w:val="nil"/>
              <w:bottom w:val="single" w:sz="4" w:space="0" w:color="auto"/>
              <w:right w:val="nil"/>
            </w:tcBorders>
            <w:shd w:val="clear" w:color="auto" w:fill="FFFFFF"/>
            <w:vAlign w:val="center"/>
          </w:tcPr>
          <w:p w14:paraId="7EA447F1" w14:textId="77777777" w:rsidR="00795E60" w:rsidRDefault="00F56376">
            <w:pPr>
              <w:pStyle w:val="Tabellcell"/>
            </w:pPr>
            <w:r>
              <w:rPr>
                <w:b/>
              </w:rPr>
              <w:t>Summa Kostnader</w:t>
            </w:r>
          </w:p>
        </w:tc>
        <w:tc>
          <w:tcPr>
            <w:tcW w:w="1349" w:type="dxa"/>
            <w:tcBorders>
              <w:top w:val="single" w:sz="4" w:space="0" w:color="auto"/>
              <w:left w:val="nil"/>
              <w:bottom w:val="single" w:sz="4" w:space="0" w:color="auto"/>
              <w:right w:val="nil"/>
            </w:tcBorders>
            <w:shd w:val="clear" w:color="auto" w:fill="FFFFFF"/>
            <w:vAlign w:val="center"/>
          </w:tcPr>
          <w:p w14:paraId="7F68D352" w14:textId="77777777" w:rsidR="00795E60" w:rsidRDefault="00F56376">
            <w:pPr>
              <w:pStyle w:val="Tabellcell"/>
              <w:jc w:val="right"/>
            </w:pPr>
            <w:r>
              <w:rPr>
                <w:b/>
              </w:rPr>
              <w:t>-178.3</w:t>
            </w:r>
          </w:p>
        </w:tc>
        <w:tc>
          <w:tcPr>
            <w:tcW w:w="1253" w:type="dxa"/>
            <w:tcBorders>
              <w:top w:val="single" w:sz="4" w:space="0" w:color="auto"/>
              <w:left w:val="nil"/>
              <w:bottom w:val="single" w:sz="4" w:space="0" w:color="auto"/>
              <w:right w:val="nil"/>
            </w:tcBorders>
            <w:shd w:val="clear" w:color="auto" w:fill="FFFFFF"/>
            <w:vAlign w:val="center"/>
          </w:tcPr>
          <w:p w14:paraId="737FEAD8" w14:textId="77777777" w:rsidR="00795E60" w:rsidRDefault="00F56376">
            <w:pPr>
              <w:pStyle w:val="Tabellcell"/>
              <w:jc w:val="right"/>
            </w:pPr>
            <w:r>
              <w:rPr>
                <w:b/>
              </w:rPr>
              <w:t>-176.8</w:t>
            </w:r>
          </w:p>
        </w:tc>
        <w:tc>
          <w:tcPr>
            <w:tcW w:w="1349" w:type="dxa"/>
            <w:tcBorders>
              <w:top w:val="single" w:sz="4" w:space="0" w:color="auto"/>
              <w:left w:val="nil"/>
              <w:bottom w:val="single" w:sz="4" w:space="0" w:color="auto"/>
              <w:right w:val="nil"/>
            </w:tcBorders>
            <w:shd w:val="clear" w:color="auto" w:fill="FFFFFF"/>
            <w:vAlign w:val="center"/>
          </w:tcPr>
          <w:p w14:paraId="0D615CA1" w14:textId="77777777" w:rsidR="00795E60" w:rsidRDefault="00F56376">
            <w:pPr>
              <w:pStyle w:val="Tabellcell"/>
              <w:jc w:val="right"/>
            </w:pPr>
            <w:r>
              <w:rPr>
                <w:b/>
              </w:rPr>
              <w:t>-164.7</w:t>
            </w:r>
          </w:p>
        </w:tc>
        <w:tc>
          <w:tcPr>
            <w:tcW w:w="1253" w:type="dxa"/>
            <w:tcBorders>
              <w:top w:val="single" w:sz="4" w:space="0" w:color="auto"/>
              <w:left w:val="nil"/>
              <w:bottom w:val="single" w:sz="4" w:space="0" w:color="auto"/>
              <w:right w:val="nil"/>
            </w:tcBorders>
            <w:shd w:val="clear" w:color="auto" w:fill="FFFFFF"/>
            <w:vAlign w:val="center"/>
          </w:tcPr>
          <w:p w14:paraId="6B2B3F36" w14:textId="77777777" w:rsidR="00795E60" w:rsidRDefault="00F56376">
            <w:pPr>
              <w:pStyle w:val="Tabellcell"/>
              <w:jc w:val="right"/>
            </w:pPr>
            <w:r>
              <w:rPr>
                <w:b/>
              </w:rPr>
              <w:t>-1.5</w:t>
            </w:r>
          </w:p>
        </w:tc>
        <w:tc>
          <w:tcPr>
            <w:tcW w:w="1253" w:type="dxa"/>
            <w:tcBorders>
              <w:top w:val="single" w:sz="4" w:space="0" w:color="auto"/>
              <w:left w:val="nil"/>
              <w:bottom w:val="single" w:sz="4" w:space="0" w:color="auto"/>
              <w:right w:val="nil"/>
            </w:tcBorders>
            <w:shd w:val="clear" w:color="auto" w:fill="FFFFFF"/>
            <w:vAlign w:val="center"/>
          </w:tcPr>
          <w:p w14:paraId="7524F9B1" w14:textId="77777777" w:rsidR="00795E60" w:rsidRDefault="00F56376">
            <w:pPr>
              <w:pStyle w:val="Tabellcell"/>
              <w:jc w:val="right"/>
            </w:pPr>
            <w:r>
              <w:rPr>
                <w:b/>
              </w:rPr>
              <w:t>-13.6</w:t>
            </w:r>
          </w:p>
        </w:tc>
      </w:tr>
      <w:tr w:rsidR="00FC2AD8" w14:paraId="7C92FBAE" w14:textId="77777777">
        <w:trPr>
          <w:cantSplit w:val="0"/>
        </w:trPr>
        <w:tc>
          <w:tcPr>
            <w:tcW w:w="3181" w:type="dxa"/>
            <w:tcBorders>
              <w:top w:val="single" w:sz="4" w:space="0" w:color="auto"/>
              <w:left w:val="nil"/>
              <w:bottom w:val="single" w:sz="4" w:space="0" w:color="auto"/>
              <w:right w:val="nil"/>
            </w:tcBorders>
            <w:shd w:val="clear" w:color="auto" w:fill="FFFFFF"/>
            <w:vAlign w:val="center"/>
          </w:tcPr>
          <w:p w14:paraId="63985178" w14:textId="77777777" w:rsidR="00795E60" w:rsidRDefault="00F56376">
            <w:pPr>
              <w:pStyle w:val="Tabellcell"/>
            </w:pPr>
            <w:r>
              <w:rPr>
                <w:b/>
              </w:rPr>
              <w:t>Verksamhetens nettokostnad</w:t>
            </w:r>
          </w:p>
        </w:tc>
        <w:tc>
          <w:tcPr>
            <w:tcW w:w="1349" w:type="dxa"/>
            <w:tcBorders>
              <w:top w:val="single" w:sz="4" w:space="0" w:color="auto"/>
              <w:left w:val="nil"/>
              <w:bottom w:val="single" w:sz="4" w:space="0" w:color="auto"/>
              <w:right w:val="nil"/>
            </w:tcBorders>
            <w:shd w:val="clear" w:color="auto" w:fill="FFFFFF"/>
            <w:vAlign w:val="center"/>
          </w:tcPr>
          <w:p w14:paraId="657A5E87" w14:textId="77777777" w:rsidR="00795E60" w:rsidRDefault="00F56376">
            <w:pPr>
              <w:pStyle w:val="Tabellcell"/>
              <w:jc w:val="right"/>
            </w:pPr>
            <w:r>
              <w:rPr>
                <w:b/>
              </w:rPr>
              <w:t>-119.5</w:t>
            </w:r>
          </w:p>
        </w:tc>
        <w:tc>
          <w:tcPr>
            <w:tcW w:w="1253" w:type="dxa"/>
            <w:tcBorders>
              <w:top w:val="single" w:sz="4" w:space="0" w:color="auto"/>
              <w:left w:val="nil"/>
              <w:bottom w:val="single" w:sz="4" w:space="0" w:color="auto"/>
              <w:right w:val="nil"/>
            </w:tcBorders>
            <w:shd w:val="clear" w:color="auto" w:fill="FFFFFF"/>
            <w:vAlign w:val="center"/>
          </w:tcPr>
          <w:p w14:paraId="22895D80" w14:textId="77777777" w:rsidR="00795E60" w:rsidRDefault="00F56376">
            <w:pPr>
              <w:pStyle w:val="Tabellcell"/>
              <w:jc w:val="right"/>
            </w:pPr>
            <w:r>
              <w:rPr>
                <w:b/>
              </w:rPr>
              <w:t>-120.6</w:t>
            </w:r>
          </w:p>
        </w:tc>
        <w:tc>
          <w:tcPr>
            <w:tcW w:w="1349" w:type="dxa"/>
            <w:tcBorders>
              <w:top w:val="single" w:sz="4" w:space="0" w:color="auto"/>
              <w:left w:val="nil"/>
              <w:bottom w:val="single" w:sz="4" w:space="0" w:color="auto"/>
              <w:right w:val="nil"/>
            </w:tcBorders>
            <w:shd w:val="clear" w:color="auto" w:fill="FFFFFF"/>
            <w:vAlign w:val="center"/>
          </w:tcPr>
          <w:p w14:paraId="0AD4C607" w14:textId="77777777" w:rsidR="00795E60" w:rsidRDefault="00F56376">
            <w:pPr>
              <w:pStyle w:val="Tabellcell"/>
              <w:jc w:val="right"/>
            </w:pPr>
            <w:r>
              <w:rPr>
                <w:b/>
              </w:rPr>
              <w:t>-106.3</w:t>
            </w:r>
          </w:p>
        </w:tc>
        <w:tc>
          <w:tcPr>
            <w:tcW w:w="1253" w:type="dxa"/>
            <w:tcBorders>
              <w:top w:val="single" w:sz="4" w:space="0" w:color="auto"/>
              <w:left w:val="nil"/>
              <w:bottom w:val="single" w:sz="4" w:space="0" w:color="auto"/>
              <w:right w:val="nil"/>
            </w:tcBorders>
            <w:shd w:val="clear" w:color="auto" w:fill="FFFFFF"/>
            <w:vAlign w:val="center"/>
          </w:tcPr>
          <w:p w14:paraId="1FBDBBCF" w14:textId="77777777" w:rsidR="00795E60" w:rsidRDefault="00F56376">
            <w:pPr>
              <w:pStyle w:val="Tabellcell"/>
              <w:jc w:val="right"/>
            </w:pPr>
            <w:r>
              <w:rPr>
                <w:b/>
              </w:rPr>
              <w:t>1.1</w:t>
            </w:r>
          </w:p>
        </w:tc>
        <w:tc>
          <w:tcPr>
            <w:tcW w:w="1253" w:type="dxa"/>
            <w:tcBorders>
              <w:top w:val="single" w:sz="4" w:space="0" w:color="auto"/>
              <w:left w:val="nil"/>
              <w:bottom w:val="single" w:sz="4" w:space="0" w:color="auto"/>
              <w:right w:val="nil"/>
            </w:tcBorders>
            <w:shd w:val="clear" w:color="auto" w:fill="FFFFFF"/>
            <w:vAlign w:val="center"/>
          </w:tcPr>
          <w:p w14:paraId="4CDAAFB1" w14:textId="77777777" w:rsidR="00795E60" w:rsidRDefault="00F56376">
            <w:pPr>
              <w:pStyle w:val="Tabellcell"/>
              <w:jc w:val="right"/>
            </w:pPr>
            <w:r>
              <w:rPr>
                <w:b/>
              </w:rPr>
              <w:t>-13.2</w:t>
            </w:r>
          </w:p>
        </w:tc>
      </w:tr>
      <w:tr w:rsidR="00FC2AD8" w14:paraId="2E013C98" w14:textId="77777777">
        <w:trPr>
          <w:cantSplit w:val="0"/>
        </w:trPr>
        <w:tc>
          <w:tcPr>
            <w:tcW w:w="3181" w:type="dxa"/>
            <w:tcBorders>
              <w:top w:val="single" w:sz="4" w:space="0" w:color="auto"/>
              <w:left w:val="nil"/>
              <w:bottom w:val="nil"/>
              <w:right w:val="nil"/>
            </w:tcBorders>
            <w:shd w:val="clear" w:color="auto" w:fill="FFFFFF"/>
            <w:vAlign w:val="center"/>
          </w:tcPr>
          <w:p w14:paraId="2DCE2F02" w14:textId="77777777" w:rsidR="00795E60" w:rsidRDefault="00F56376">
            <w:pPr>
              <w:pStyle w:val="Tabellcell"/>
            </w:pPr>
            <w:r>
              <w:rPr>
                <w:b/>
              </w:rPr>
              <w:t>Resultat</w:t>
            </w:r>
          </w:p>
        </w:tc>
        <w:tc>
          <w:tcPr>
            <w:tcW w:w="1349" w:type="dxa"/>
            <w:tcBorders>
              <w:top w:val="single" w:sz="4" w:space="0" w:color="auto"/>
              <w:left w:val="nil"/>
              <w:bottom w:val="nil"/>
              <w:right w:val="nil"/>
            </w:tcBorders>
            <w:shd w:val="clear" w:color="auto" w:fill="FFFFFF"/>
            <w:vAlign w:val="center"/>
          </w:tcPr>
          <w:p w14:paraId="59EE2FAC" w14:textId="77777777" w:rsidR="00795E60" w:rsidRDefault="00F56376">
            <w:pPr>
              <w:pStyle w:val="Tabellcell"/>
              <w:jc w:val="right"/>
            </w:pPr>
            <w:r>
              <w:rPr>
                <w:b/>
              </w:rPr>
              <w:t>-119.5</w:t>
            </w:r>
          </w:p>
        </w:tc>
        <w:tc>
          <w:tcPr>
            <w:tcW w:w="1253" w:type="dxa"/>
            <w:tcBorders>
              <w:top w:val="single" w:sz="4" w:space="0" w:color="auto"/>
              <w:left w:val="nil"/>
              <w:bottom w:val="nil"/>
              <w:right w:val="nil"/>
            </w:tcBorders>
            <w:shd w:val="clear" w:color="auto" w:fill="FFFFFF"/>
            <w:vAlign w:val="center"/>
          </w:tcPr>
          <w:p w14:paraId="21A7D26C" w14:textId="77777777" w:rsidR="00795E60" w:rsidRDefault="00F56376">
            <w:pPr>
              <w:pStyle w:val="Tabellcell"/>
              <w:jc w:val="right"/>
            </w:pPr>
            <w:r>
              <w:rPr>
                <w:b/>
              </w:rPr>
              <w:t>-120.6</w:t>
            </w:r>
          </w:p>
        </w:tc>
        <w:tc>
          <w:tcPr>
            <w:tcW w:w="1349" w:type="dxa"/>
            <w:tcBorders>
              <w:top w:val="single" w:sz="4" w:space="0" w:color="auto"/>
              <w:left w:val="nil"/>
              <w:bottom w:val="nil"/>
              <w:right w:val="nil"/>
            </w:tcBorders>
            <w:shd w:val="clear" w:color="auto" w:fill="FFFFFF"/>
            <w:vAlign w:val="center"/>
          </w:tcPr>
          <w:p w14:paraId="3E403328" w14:textId="77777777" w:rsidR="00795E60" w:rsidRDefault="00F56376">
            <w:pPr>
              <w:pStyle w:val="Tabellcell"/>
              <w:jc w:val="right"/>
            </w:pPr>
            <w:r>
              <w:rPr>
                <w:b/>
              </w:rPr>
              <w:t>-106.3</w:t>
            </w:r>
          </w:p>
        </w:tc>
        <w:tc>
          <w:tcPr>
            <w:tcW w:w="1253" w:type="dxa"/>
            <w:tcBorders>
              <w:top w:val="single" w:sz="4" w:space="0" w:color="auto"/>
              <w:left w:val="nil"/>
              <w:bottom w:val="nil"/>
              <w:right w:val="nil"/>
            </w:tcBorders>
            <w:shd w:val="clear" w:color="auto" w:fill="FFFFFF"/>
            <w:vAlign w:val="center"/>
          </w:tcPr>
          <w:p w14:paraId="3FF748AB" w14:textId="77777777" w:rsidR="00795E60" w:rsidRDefault="00F56376">
            <w:pPr>
              <w:pStyle w:val="Tabellcell"/>
              <w:jc w:val="right"/>
            </w:pPr>
            <w:r>
              <w:rPr>
                <w:b/>
              </w:rPr>
              <w:t>1.1</w:t>
            </w:r>
          </w:p>
        </w:tc>
        <w:tc>
          <w:tcPr>
            <w:tcW w:w="1253" w:type="dxa"/>
            <w:tcBorders>
              <w:top w:val="single" w:sz="4" w:space="0" w:color="auto"/>
              <w:left w:val="nil"/>
              <w:bottom w:val="nil"/>
              <w:right w:val="nil"/>
            </w:tcBorders>
            <w:shd w:val="clear" w:color="auto" w:fill="FFFFFF"/>
            <w:vAlign w:val="center"/>
          </w:tcPr>
          <w:p w14:paraId="0CAB985F" w14:textId="77777777" w:rsidR="00795E60" w:rsidRDefault="00F56376">
            <w:pPr>
              <w:pStyle w:val="Tabellcell"/>
              <w:jc w:val="right"/>
            </w:pPr>
            <w:r>
              <w:rPr>
                <w:b/>
              </w:rPr>
              <w:t>-13.2</w:t>
            </w:r>
          </w:p>
        </w:tc>
      </w:tr>
    </w:tbl>
    <w:p w14:paraId="007E6306" w14:textId="77777777" w:rsidR="00795E60" w:rsidRDefault="00F56376">
      <w:pPr>
        <w:pStyle w:val="Texttitel"/>
      </w:pPr>
      <w:r>
        <w:lastRenderedPageBreak/>
        <w:t>Budgetavvikelse</w:t>
      </w:r>
    </w:p>
    <w:p w14:paraId="0BA97B74" w14:textId="77777777" w:rsidR="00795E60" w:rsidRDefault="00F56376">
      <w:pPr>
        <w:pStyle w:val="BodyText"/>
        <w:widowControl w:val="0"/>
      </w:pPr>
      <w:r>
        <w:rPr>
          <w:noProof/>
        </w:rPr>
        <w:drawing>
          <wp:inline distT="0" distB="0" distL="0" distR="0" wp14:anchorId="582CF3FA" wp14:editId="4F98B33B">
            <wp:extent cx="6120494" cy="3635798"/>
            <wp:effectExtent l="19050" t="0" r="0" b="0"/>
            <wp:docPr id="100" name="/Image/regionorebrolan/ea4984dd-800b-47de-a919-b3d300a3cfb3"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regionorebrolan/ea4984dd-800b-47de-a919-b3d300a3cfb3" descr="Bild"/>
                    <pic:cNvPicPr>
                      <a:picLocks noChangeAspect="1" noChangeArrowheads="1"/>
                    </pic:cNvPicPr>
                  </pic:nvPicPr>
                  <pic:blipFill>
                    <a:blip r:embed="rId14"/>
                    <a:stretch>
                      <a:fillRect/>
                    </a:stretch>
                  </pic:blipFill>
                  <pic:spPr bwMode="auto">
                    <a:xfrm>
                      <a:off x="0" y="0"/>
                      <a:ext cx="6120494" cy="3635798"/>
                    </a:xfrm>
                    <a:prstGeom prst="rect">
                      <a:avLst/>
                    </a:prstGeom>
                  </pic:spPr>
                </pic:pic>
              </a:graphicData>
            </a:graphic>
          </wp:inline>
        </w:drawing>
      </w:r>
    </w:p>
    <w:p w14:paraId="7FF1D34D" w14:textId="77777777" w:rsidR="00795E60" w:rsidRDefault="00F56376">
      <w:pPr>
        <w:pStyle w:val="Texttitel"/>
      </w:pPr>
      <w:r>
        <w:t>Sammanfattande analys</w:t>
      </w:r>
    </w:p>
    <w:p w14:paraId="7B442538" w14:textId="77777777" w:rsidR="00795E60" w:rsidRDefault="00F56376">
      <w:pPr>
        <w:pStyle w:val="BodyText"/>
        <w:widowControl w:val="0"/>
      </w:pPr>
      <w:r>
        <w:t>Förutsättningarna inför 2025 bedömdes varar rimliga då nämnden tilldelades en pris- och löneuppräkning i enlighet med landstingsprisindex med 2,4 procent.</w:t>
      </w:r>
    </w:p>
    <w:p w14:paraId="0054E1B0" w14:textId="77777777" w:rsidR="00795E60" w:rsidRDefault="00F56376">
      <w:pPr>
        <w:pStyle w:val="BodyText"/>
        <w:widowControl w:val="0"/>
      </w:pPr>
      <w:r>
        <w:t>I februari fattade Kulturnämnden ett reviderat beslut för budget 2025, detta utifrån att Statens kulturråd inkommit med beslut om 2025 års statsstöd. Det nya beslutet påverkade inte Kulturnämndens ram eftersom dessa reviderade statsstöd är direkt kopplade mot lämnade bidrag till externa aktörer och främjandeverksamheten, men det blev en mer korrekt jämförelse av verksamhetens utfall gentemot budgeten under året.</w:t>
      </w:r>
    </w:p>
    <w:p w14:paraId="5362D8A8" w14:textId="77777777" w:rsidR="00795E60" w:rsidRDefault="00F56376">
      <w:pPr>
        <w:pStyle w:val="BodyText"/>
        <w:widowControl w:val="0"/>
      </w:pPr>
      <w:r>
        <w:t xml:space="preserve">För kulturnämnden uppgick budgetramen för 2025 till 120,6 miljoner kronor. Utfallet för 2025 blev 119,5 miljoner, alltså ett överskott på 1,1 miljoner kronor. Motsvarande överskott för 2024 var 2 </w:t>
      </w:r>
      <w:r>
        <w:t>miljoner kronor.</w:t>
      </w:r>
    </w:p>
    <w:p w14:paraId="121E75F5" w14:textId="77777777" w:rsidR="00795E60" w:rsidRDefault="00F56376">
      <w:pPr>
        <w:pStyle w:val="BodyText"/>
        <w:widowControl w:val="0"/>
      </w:pPr>
      <w:r>
        <w:t>Årets överskott återfinns både bland högre intäkter, men främst av lägre personalkostnader och ej upparbetade kostnader inom verksamheten.</w:t>
      </w:r>
    </w:p>
    <w:p w14:paraId="35A00076" w14:textId="77777777" w:rsidR="00795E60" w:rsidRDefault="00F56376">
      <w:pPr>
        <w:pStyle w:val="BodyText"/>
        <w:widowControl w:val="0"/>
      </w:pPr>
      <w:r>
        <w:t> </w:t>
      </w:r>
    </w:p>
    <w:p w14:paraId="563E7B25" w14:textId="77777777" w:rsidR="00795E60" w:rsidRDefault="00F56376">
      <w:pPr>
        <w:pStyle w:val="Rubrik2"/>
      </w:pPr>
      <w:bookmarkStart w:id="7" w:name="_Toc220678297"/>
      <w:r>
        <w:t>Årets resultat</w:t>
      </w:r>
      <w:bookmarkEnd w:id="7"/>
    </w:p>
    <w:p w14:paraId="360710D6" w14:textId="77777777" w:rsidR="00795E60" w:rsidRDefault="00F56376">
      <w:pPr>
        <w:pStyle w:val="Rubrik3"/>
      </w:pPr>
      <w:r>
        <w:t>Intäkter</w:t>
      </w:r>
    </w:p>
    <w:p w14:paraId="481DA5C7" w14:textId="77777777" w:rsidR="00795E60" w:rsidRDefault="00F56376">
      <w:pPr>
        <w:pStyle w:val="BodyText"/>
        <w:widowControl w:val="0"/>
      </w:pPr>
      <w:r>
        <w:t>Kulturnämnden har fått de riktade statsbidrag som budgeterats, de högre intäkterna jämfört med budgeten avser till största delen projektverksamheten.</w:t>
      </w:r>
    </w:p>
    <w:p w14:paraId="346D9A70" w14:textId="77777777" w:rsidR="00795E60" w:rsidRDefault="00F56376">
      <w:pPr>
        <w:pStyle w:val="Rubrik3"/>
      </w:pPr>
      <w:r>
        <w:lastRenderedPageBreak/>
        <w:t xml:space="preserve">Personalkostnader </w:t>
      </w:r>
    </w:p>
    <w:p w14:paraId="6BCA77AD" w14:textId="77777777" w:rsidR="00795E60" w:rsidRDefault="00F56376">
      <w:pPr>
        <w:pStyle w:val="BodyText"/>
        <w:widowControl w:val="0"/>
      </w:pPr>
      <w:r>
        <w:t>Personalkostnaderna ligger i linje med budget, den avvikelse som finns härrör till projektverksamheten.</w:t>
      </w:r>
    </w:p>
    <w:p w14:paraId="515E2281" w14:textId="77777777" w:rsidR="00795E60" w:rsidRDefault="00F56376">
      <w:pPr>
        <w:pStyle w:val="Rubrik3"/>
      </w:pPr>
      <w:r>
        <w:t xml:space="preserve">Övriga kostnader </w:t>
      </w:r>
    </w:p>
    <w:p w14:paraId="235E960B" w14:textId="77777777" w:rsidR="00795E60" w:rsidRDefault="00F56376">
      <w:pPr>
        <w:pStyle w:val="BodyText"/>
        <w:widowControl w:val="0"/>
      </w:pPr>
      <w:r>
        <w:t xml:space="preserve">Övriga kostnader delas upp i </w:t>
      </w:r>
      <w:r>
        <w:t>redovisningen av lämnade bidrag och övriga kostnader.</w:t>
      </w:r>
    </w:p>
    <w:p w14:paraId="7EAEDC0A" w14:textId="77777777" w:rsidR="00795E60" w:rsidRDefault="00F56376">
      <w:pPr>
        <w:pStyle w:val="BodyText"/>
        <w:widowControl w:val="0"/>
      </w:pPr>
      <w:r>
        <w:t>Lämnade bidrag har ett högre utfall än budgeterat (-5,3 miljoner kronor) medan resterande övriga kostnader har ett lägre utfall (+4,1 miljoner kronor).</w:t>
      </w:r>
    </w:p>
    <w:p w14:paraId="153C66BE" w14:textId="77777777" w:rsidR="00795E60" w:rsidRDefault="00F56376">
      <w:pPr>
        <w:pStyle w:val="BodyText"/>
        <w:widowControl w:val="0"/>
      </w:pPr>
      <w:r>
        <w:t>Avseende lämnade bidrag så har besluten för årets föreningsbidrag, bidrag till Samverkansmodellen samt regionala årliga verksamhetsstöd fattats, verkställts och periodiserats i enlighet med detta. Inga avvikelser återfinns här. Däremot består hela underskottet av verksamhetsmedel, som i budgeten återfinns under övriga kostnader, som blir lämnade bidrag under året.</w:t>
      </w:r>
    </w:p>
    <w:p w14:paraId="493E4B48" w14:textId="77777777" w:rsidR="00795E60" w:rsidRDefault="00F56376">
      <w:pPr>
        <w:pStyle w:val="BodyText"/>
        <w:widowControl w:val="0"/>
      </w:pPr>
      <w:r>
        <w:t>Övriga kostnader i sig har även ett litet underskott som består av högre kanslikostnader än budgeterat vilket i sin tur beror på högre kostnader för Regionhuset än beräknat samt högre projektkostnader.</w:t>
      </w:r>
    </w:p>
    <w:p w14:paraId="75DAF533" w14:textId="77777777" w:rsidR="00795E60" w:rsidRDefault="00F56376">
      <w:pPr>
        <w:pStyle w:val="Rubrik3"/>
      </w:pPr>
      <w:r>
        <w:t>Driftredovisning kulturnämnden</w:t>
      </w:r>
    </w:p>
    <w:tbl>
      <w:tblPr>
        <w:tblStyle w:val="Tabellrutnt"/>
        <w:tblOverlap w:val="never"/>
        <w:tblW w:w="0" w:type="auto"/>
        <w:tblLayout w:type="fixed"/>
        <w:tblLook w:val="04A0" w:firstRow="1" w:lastRow="0" w:firstColumn="1" w:lastColumn="0" w:noHBand="0" w:noVBand="1"/>
      </w:tblPr>
      <w:tblGrid>
        <w:gridCol w:w="3628"/>
        <w:gridCol w:w="1587"/>
        <w:gridCol w:w="1644"/>
        <w:gridCol w:w="1191"/>
        <w:gridCol w:w="1587"/>
      </w:tblGrid>
      <w:tr w:rsidR="00FC2AD8" w14:paraId="76035A24" w14:textId="77777777">
        <w:trPr>
          <w:cantSplit w:val="0"/>
        </w:trPr>
        <w:tc>
          <w:tcPr>
            <w:tcW w:w="3628" w:type="dxa"/>
            <w:tcBorders>
              <w:top w:val="nil"/>
              <w:left w:val="nil"/>
              <w:bottom w:val="single" w:sz="4" w:space="0" w:color="auto"/>
              <w:right w:val="nil"/>
            </w:tcBorders>
            <w:shd w:val="clear" w:color="auto" w:fill="E1E9F2"/>
            <w:vAlign w:val="center"/>
          </w:tcPr>
          <w:p w14:paraId="6BFDA2E1" w14:textId="77777777" w:rsidR="00795E60" w:rsidRDefault="00F56376">
            <w:pPr>
              <w:pStyle w:val="Tabellcell"/>
            </w:pPr>
            <w:r>
              <w:rPr>
                <w:b/>
              </w:rPr>
              <w:t>Belopp i mnkr</w:t>
            </w:r>
          </w:p>
        </w:tc>
        <w:tc>
          <w:tcPr>
            <w:tcW w:w="1587" w:type="dxa"/>
            <w:tcBorders>
              <w:top w:val="nil"/>
              <w:left w:val="nil"/>
              <w:bottom w:val="single" w:sz="4" w:space="0" w:color="auto"/>
              <w:right w:val="nil"/>
            </w:tcBorders>
            <w:shd w:val="clear" w:color="auto" w:fill="E1E9F2"/>
            <w:vAlign w:val="center"/>
          </w:tcPr>
          <w:p w14:paraId="7C5E8D97" w14:textId="77777777" w:rsidR="00795E60" w:rsidRDefault="00F56376">
            <w:pPr>
              <w:pStyle w:val="Tabellcell"/>
              <w:jc w:val="center"/>
            </w:pPr>
            <w:r>
              <w:rPr>
                <w:b/>
              </w:rPr>
              <w:t>Budgetavvikelse 2025</w:t>
            </w:r>
          </w:p>
        </w:tc>
        <w:tc>
          <w:tcPr>
            <w:tcW w:w="1644" w:type="dxa"/>
            <w:tcBorders>
              <w:top w:val="nil"/>
              <w:left w:val="nil"/>
              <w:bottom w:val="single" w:sz="4" w:space="0" w:color="auto"/>
              <w:right w:val="nil"/>
            </w:tcBorders>
            <w:shd w:val="clear" w:color="auto" w:fill="E1E9F2"/>
            <w:vAlign w:val="center"/>
          </w:tcPr>
          <w:p w14:paraId="526AE3CC" w14:textId="77777777" w:rsidR="00795E60" w:rsidRDefault="00F56376">
            <w:pPr>
              <w:pStyle w:val="Tabellcell"/>
              <w:jc w:val="center"/>
            </w:pPr>
            <w:r>
              <w:rPr>
                <w:b/>
              </w:rPr>
              <w:t>Omsättning *) 2025</w:t>
            </w:r>
          </w:p>
        </w:tc>
        <w:tc>
          <w:tcPr>
            <w:tcW w:w="1191" w:type="dxa"/>
            <w:tcBorders>
              <w:top w:val="nil"/>
              <w:left w:val="nil"/>
              <w:bottom w:val="single" w:sz="4" w:space="0" w:color="auto"/>
              <w:right w:val="nil"/>
            </w:tcBorders>
            <w:shd w:val="clear" w:color="auto" w:fill="E1E9F2"/>
            <w:vAlign w:val="center"/>
          </w:tcPr>
          <w:p w14:paraId="69B1F262" w14:textId="77777777" w:rsidR="00795E60" w:rsidRDefault="00F56376">
            <w:pPr>
              <w:pStyle w:val="Tabellcell"/>
              <w:jc w:val="center"/>
            </w:pPr>
            <w:r>
              <w:rPr>
                <w:b/>
              </w:rPr>
              <w:t>Relation (%)</w:t>
            </w:r>
          </w:p>
        </w:tc>
        <w:tc>
          <w:tcPr>
            <w:tcW w:w="1587" w:type="dxa"/>
            <w:tcBorders>
              <w:top w:val="nil"/>
              <w:left w:val="nil"/>
              <w:bottom w:val="single" w:sz="4" w:space="0" w:color="auto"/>
              <w:right w:val="nil"/>
            </w:tcBorders>
            <w:shd w:val="clear" w:color="auto" w:fill="E1E9F2"/>
            <w:vAlign w:val="center"/>
          </w:tcPr>
          <w:p w14:paraId="6AAC7B4E" w14:textId="77777777" w:rsidR="00795E60" w:rsidRDefault="00F56376">
            <w:pPr>
              <w:pStyle w:val="Tabellcell"/>
              <w:jc w:val="center"/>
            </w:pPr>
            <w:r>
              <w:rPr>
                <w:b/>
              </w:rPr>
              <w:t>Budgetavvikelse 2024</w:t>
            </w:r>
          </w:p>
        </w:tc>
      </w:tr>
      <w:tr w:rsidR="00FC2AD8" w14:paraId="6B77DA95" w14:textId="77777777">
        <w:trPr>
          <w:cantSplit w:val="0"/>
        </w:trPr>
        <w:tc>
          <w:tcPr>
            <w:tcW w:w="3628" w:type="dxa"/>
            <w:tcBorders>
              <w:top w:val="single" w:sz="4" w:space="0" w:color="auto"/>
              <w:left w:val="nil"/>
              <w:bottom w:val="nil"/>
              <w:right w:val="nil"/>
            </w:tcBorders>
            <w:shd w:val="clear" w:color="auto" w:fill="FFFFFF"/>
          </w:tcPr>
          <w:p w14:paraId="79A60C1D" w14:textId="77777777" w:rsidR="00795E60" w:rsidRDefault="00F56376">
            <w:pPr>
              <w:pStyle w:val="Tabellcell"/>
            </w:pPr>
            <w:r>
              <w:t>Ledning</w:t>
            </w:r>
          </w:p>
        </w:tc>
        <w:tc>
          <w:tcPr>
            <w:tcW w:w="1587" w:type="dxa"/>
            <w:tcBorders>
              <w:top w:val="single" w:sz="4" w:space="0" w:color="auto"/>
              <w:left w:val="nil"/>
              <w:bottom w:val="nil"/>
              <w:right w:val="nil"/>
            </w:tcBorders>
            <w:shd w:val="clear" w:color="auto" w:fill="FFFFFF"/>
          </w:tcPr>
          <w:p w14:paraId="722BAA3F" w14:textId="77777777" w:rsidR="00795E60" w:rsidRDefault="00F56376">
            <w:pPr>
              <w:pStyle w:val="Tabellcell"/>
              <w:jc w:val="right"/>
            </w:pPr>
            <w:r>
              <w:t>0,5</w:t>
            </w:r>
          </w:p>
        </w:tc>
        <w:tc>
          <w:tcPr>
            <w:tcW w:w="1644" w:type="dxa"/>
            <w:tcBorders>
              <w:top w:val="single" w:sz="4" w:space="0" w:color="auto"/>
              <w:left w:val="nil"/>
              <w:bottom w:val="nil"/>
              <w:right w:val="nil"/>
            </w:tcBorders>
            <w:shd w:val="clear" w:color="auto" w:fill="FFFFFF"/>
          </w:tcPr>
          <w:p w14:paraId="102F1A84" w14:textId="77777777" w:rsidR="00795E60" w:rsidRDefault="00F56376">
            <w:pPr>
              <w:pStyle w:val="Tabellcell"/>
              <w:jc w:val="right"/>
            </w:pPr>
            <w:r>
              <w:t>14,8</w:t>
            </w:r>
          </w:p>
        </w:tc>
        <w:tc>
          <w:tcPr>
            <w:tcW w:w="1191" w:type="dxa"/>
            <w:tcBorders>
              <w:top w:val="single" w:sz="4" w:space="0" w:color="auto"/>
              <w:left w:val="nil"/>
              <w:bottom w:val="nil"/>
              <w:right w:val="nil"/>
            </w:tcBorders>
            <w:shd w:val="clear" w:color="auto" w:fill="FFFFFF"/>
          </w:tcPr>
          <w:p w14:paraId="7A18F585" w14:textId="77777777" w:rsidR="00795E60" w:rsidRDefault="00F56376">
            <w:pPr>
              <w:pStyle w:val="Tabellcell"/>
              <w:jc w:val="right"/>
            </w:pPr>
            <w:r>
              <w:t>3,4</w:t>
            </w:r>
          </w:p>
        </w:tc>
        <w:tc>
          <w:tcPr>
            <w:tcW w:w="1587" w:type="dxa"/>
            <w:tcBorders>
              <w:top w:val="single" w:sz="4" w:space="0" w:color="auto"/>
              <w:left w:val="nil"/>
              <w:bottom w:val="nil"/>
              <w:right w:val="nil"/>
            </w:tcBorders>
            <w:shd w:val="clear" w:color="auto" w:fill="FFFFFF"/>
          </w:tcPr>
          <w:p w14:paraId="2A8FD8AB" w14:textId="77777777" w:rsidR="00795E60" w:rsidRDefault="00F56376">
            <w:pPr>
              <w:pStyle w:val="Tabellcell"/>
              <w:jc w:val="right"/>
            </w:pPr>
            <w:r>
              <w:t>1,0</w:t>
            </w:r>
          </w:p>
        </w:tc>
      </w:tr>
      <w:tr w:rsidR="00FC2AD8" w14:paraId="6B335804" w14:textId="77777777">
        <w:trPr>
          <w:cantSplit w:val="0"/>
        </w:trPr>
        <w:tc>
          <w:tcPr>
            <w:tcW w:w="3628" w:type="dxa"/>
            <w:tcBorders>
              <w:top w:val="nil"/>
              <w:left w:val="nil"/>
              <w:bottom w:val="nil"/>
              <w:right w:val="nil"/>
            </w:tcBorders>
            <w:shd w:val="clear" w:color="auto" w:fill="FFFFFF"/>
          </w:tcPr>
          <w:p w14:paraId="70096463" w14:textId="77777777" w:rsidR="00795E60" w:rsidRDefault="00F56376">
            <w:pPr>
              <w:pStyle w:val="Tabellcell"/>
            </w:pPr>
            <w:r>
              <w:t>Kulturstöd</w:t>
            </w:r>
          </w:p>
        </w:tc>
        <w:tc>
          <w:tcPr>
            <w:tcW w:w="1587" w:type="dxa"/>
            <w:tcBorders>
              <w:top w:val="nil"/>
              <w:left w:val="nil"/>
              <w:bottom w:val="nil"/>
              <w:right w:val="nil"/>
            </w:tcBorders>
            <w:shd w:val="clear" w:color="auto" w:fill="FFFFFF"/>
          </w:tcPr>
          <w:p w14:paraId="335D1749" w14:textId="77777777" w:rsidR="00795E60" w:rsidRDefault="00F56376">
            <w:pPr>
              <w:pStyle w:val="Tabellcell"/>
              <w:jc w:val="right"/>
            </w:pPr>
            <w:r>
              <w:t>-0,2</w:t>
            </w:r>
          </w:p>
        </w:tc>
        <w:tc>
          <w:tcPr>
            <w:tcW w:w="1644" w:type="dxa"/>
            <w:tcBorders>
              <w:top w:val="nil"/>
              <w:left w:val="nil"/>
              <w:bottom w:val="nil"/>
              <w:right w:val="nil"/>
            </w:tcBorders>
            <w:shd w:val="clear" w:color="auto" w:fill="FFFFFF"/>
          </w:tcPr>
          <w:p w14:paraId="155325F6" w14:textId="77777777" w:rsidR="00795E60" w:rsidRDefault="00F56376">
            <w:pPr>
              <w:pStyle w:val="Tabellcell"/>
              <w:jc w:val="right"/>
            </w:pPr>
            <w:r>
              <w:t>7,3</w:t>
            </w:r>
          </w:p>
        </w:tc>
        <w:tc>
          <w:tcPr>
            <w:tcW w:w="1191" w:type="dxa"/>
            <w:tcBorders>
              <w:top w:val="nil"/>
              <w:left w:val="nil"/>
              <w:bottom w:val="nil"/>
              <w:right w:val="nil"/>
            </w:tcBorders>
            <w:shd w:val="clear" w:color="auto" w:fill="FFFFFF"/>
          </w:tcPr>
          <w:p w14:paraId="31E40B0F" w14:textId="77777777" w:rsidR="00795E60" w:rsidRDefault="00F56376">
            <w:pPr>
              <w:pStyle w:val="Tabellcell"/>
              <w:jc w:val="right"/>
            </w:pPr>
            <w:r>
              <w:t>-2,7</w:t>
            </w:r>
          </w:p>
        </w:tc>
        <w:tc>
          <w:tcPr>
            <w:tcW w:w="1587" w:type="dxa"/>
            <w:tcBorders>
              <w:top w:val="nil"/>
              <w:left w:val="nil"/>
              <w:bottom w:val="nil"/>
              <w:right w:val="nil"/>
            </w:tcBorders>
            <w:shd w:val="clear" w:color="auto" w:fill="FFFFFF"/>
          </w:tcPr>
          <w:p w14:paraId="14891D3D" w14:textId="77777777" w:rsidR="00795E60" w:rsidRDefault="00F56376">
            <w:pPr>
              <w:pStyle w:val="Tabellcell"/>
              <w:jc w:val="right"/>
            </w:pPr>
            <w:r>
              <w:t>0,4</w:t>
            </w:r>
          </w:p>
        </w:tc>
      </w:tr>
      <w:tr w:rsidR="00FC2AD8" w14:paraId="37596DC5" w14:textId="77777777">
        <w:trPr>
          <w:cantSplit w:val="0"/>
        </w:trPr>
        <w:tc>
          <w:tcPr>
            <w:tcW w:w="3628" w:type="dxa"/>
            <w:tcBorders>
              <w:top w:val="nil"/>
              <w:left w:val="nil"/>
              <w:bottom w:val="nil"/>
              <w:right w:val="nil"/>
            </w:tcBorders>
            <w:shd w:val="clear" w:color="auto" w:fill="FFFFFF"/>
          </w:tcPr>
          <w:p w14:paraId="2BC48DC3" w14:textId="77777777" w:rsidR="00795E60" w:rsidRDefault="00F56376">
            <w:pPr>
              <w:pStyle w:val="Tabellcell"/>
            </w:pPr>
            <w:r>
              <w:t>Civilsamhälle och social ekonomi</w:t>
            </w:r>
          </w:p>
        </w:tc>
        <w:tc>
          <w:tcPr>
            <w:tcW w:w="1587" w:type="dxa"/>
            <w:tcBorders>
              <w:top w:val="nil"/>
              <w:left w:val="nil"/>
              <w:bottom w:val="nil"/>
              <w:right w:val="nil"/>
            </w:tcBorders>
            <w:shd w:val="clear" w:color="auto" w:fill="FFFFFF"/>
          </w:tcPr>
          <w:p w14:paraId="2E7F3281" w14:textId="77777777" w:rsidR="00795E60" w:rsidRDefault="00F56376">
            <w:pPr>
              <w:pStyle w:val="Tabellcell"/>
              <w:jc w:val="right"/>
            </w:pPr>
            <w:r>
              <w:t>0</w:t>
            </w:r>
          </w:p>
        </w:tc>
        <w:tc>
          <w:tcPr>
            <w:tcW w:w="1644" w:type="dxa"/>
            <w:tcBorders>
              <w:top w:val="nil"/>
              <w:left w:val="nil"/>
              <w:bottom w:val="nil"/>
              <w:right w:val="nil"/>
            </w:tcBorders>
            <w:shd w:val="clear" w:color="auto" w:fill="FFFFFF"/>
          </w:tcPr>
          <w:p w14:paraId="60C14F56" w14:textId="77777777" w:rsidR="00795E60" w:rsidRDefault="00F56376">
            <w:pPr>
              <w:pStyle w:val="Tabellcell"/>
              <w:jc w:val="right"/>
            </w:pPr>
            <w:r>
              <w:t>0,4</w:t>
            </w:r>
          </w:p>
        </w:tc>
        <w:tc>
          <w:tcPr>
            <w:tcW w:w="1191" w:type="dxa"/>
            <w:tcBorders>
              <w:top w:val="nil"/>
              <w:left w:val="nil"/>
              <w:bottom w:val="nil"/>
              <w:right w:val="nil"/>
            </w:tcBorders>
            <w:shd w:val="clear" w:color="auto" w:fill="FFFFFF"/>
          </w:tcPr>
          <w:p w14:paraId="730D733A" w14:textId="77777777" w:rsidR="00795E60" w:rsidRDefault="00F56376">
            <w:pPr>
              <w:pStyle w:val="Tabellcell"/>
              <w:jc w:val="right"/>
            </w:pPr>
            <w:r>
              <w:t>0</w:t>
            </w:r>
          </w:p>
        </w:tc>
        <w:tc>
          <w:tcPr>
            <w:tcW w:w="1587" w:type="dxa"/>
            <w:tcBorders>
              <w:top w:val="nil"/>
              <w:left w:val="nil"/>
              <w:bottom w:val="nil"/>
              <w:right w:val="nil"/>
            </w:tcBorders>
            <w:shd w:val="clear" w:color="auto" w:fill="FFFFFF"/>
          </w:tcPr>
          <w:p w14:paraId="660A61DE" w14:textId="77777777" w:rsidR="00795E60" w:rsidRDefault="00F56376">
            <w:pPr>
              <w:pStyle w:val="Tabellcell"/>
              <w:jc w:val="right"/>
            </w:pPr>
            <w:r>
              <w:t>0</w:t>
            </w:r>
          </w:p>
        </w:tc>
      </w:tr>
      <w:tr w:rsidR="00FC2AD8" w14:paraId="24E6FD6B" w14:textId="77777777">
        <w:trPr>
          <w:cantSplit w:val="0"/>
        </w:trPr>
        <w:tc>
          <w:tcPr>
            <w:tcW w:w="3628" w:type="dxa"/>
            <w:tcBorders>
              <w:top w:val="nil"/>
              <w:left w:val="nil"/>
              <w:bottom w:val="nil"/>
              <w:right w:val="nil"/>
            </w:tcBorders>
            <w:shd w:val="clear" w:color="auto" w:fill="FFFFFF"/>
          </w:tcPr>
          <w:p w14:paraId="7CD4FC86" w14:textId="77777777" w:rsidR="00795E60" w:rsidRDefault="00F56376">
            <w:pPr>
              <w:pStyle w:val="Tabellcell"/>
            </w:pPr>
            <w:r>
              <w:t xml:space="preserve">Särskilda </w:t>
            </w:r>
            <w:r>
              <w:t>satsningar</w:t>
            </w:r>
          </w:p>
        </w:tc>
        <w:tc>
          <w:tcPr>
            <w:tcW w:w="1587" w:type="dxa"/>
            <w:tcBorders>
              <w:top w:val="nil"/>
              <w:left w:val="nil"/>
              <w:bottom w:val="nil"/>
              <w:right w:val="nil"/>
            </w:tcBorders>
            <w:shd w:val="clear" w:color="auto" w:fill="FFFFFF"/>
          </w:tcPr>
          <w:p w14:paraId="11E89858" w14:textId="77777777" w:rsidR="00795E60" w:rsidRDefault="00F56376">
            <w:pPr>
              <w:pStyle w:val="Tabellcell"/>
              <w:jc w:val="right"/>
            </w:pPr>
            <w:r>
              <w:t>0</w:t>
            </w:r>
          </w:p>
        </w:tc>
        <w:tc>
          <w:tcPr>
            <w:tcW w:w="1644" w:type="dxa"/>
            <w:tcBorders>
              <w:top w:val="nil"/>
              <w:left w:val="nil"/>
              <w:bottom w:val="nil"/>
              <w:right w:val="nil"/>
            </w:tcBorders>
            <w:shd w:val="clear" w:color="auto" w:fill="FFFFFF"/>
          </w:tcPr>
          <w:p w14:paraId="23291E98" w14:textId="77777777" w:rsidR="00795E60" w:rsidRDefault="00F56376">
            <w:pPr>
              <w:pStyle w:val="Tabellcell"/>
              <w:jc w:val="right"/>
            </w:pPr>
            <w:r>
              <w:t>0</w:t>
            </w:r>
          </w:p>
        </w:tc>
        <w:tc>
          <w:tcPr>
            <w:tcW w:w="1191" w:type="dxa"/>
            <w:tcBorders>
              <w:top w:val="nil"/>
              <w:left w:val="nil"/>
              <w:bottom w:val="nil"/>
              <w:right w:val="nil"/>
            </w:tcBorders>
            <w:shd w:val="clear" w:color="auto" w:fill="FFFFFF"/>
          </w:tcPr>
          <w:p w14:paraId="7B8770A7" w14:textId="77777777" w:rsidR="00795E60" w:rsidRDefault="00F56376">
            <w:pPr>
              <w:pStyle w:val="Tabellcell"/>
              <w:jc w:val="right"/>
            </w:pPr>
            <w:r>
              <w:t>#DIVISION/0!</w:t>
            </w:r>
          </w:p>
        </w:tc>
        <w:tc>
          <w:tcPr>
            <w:tcW w:w="1587" w:type="dxa"/>
            <w:tcBorders>
              <w:top w:val="nil"/>
              <w:left w:val="nil"/>
              <w:bottom w:val="nil"/>
              <w:right w:val="nil"/>
            </w:tcBorders>
            <w:shd w:val="clear" w:color="auto" w:fill="FFFFFF"/>
          </w:tcPr>
          <w:p w14:paraId="15F9A2CB" w14:textId="77777777" w:rsidR="00795E60" w:rsidRDefault="00F56376">
            <w:pPr>
              <w:pStyle w:val="Tabellcell"/>
              <w:jc w:val="right"/>
            </w:pPr>
            <w:r>
              <w:t>0</w:t>
            </w:r>
          </w:p>
        </w:tc>
      </w:tr>
      <w:tr w:rsidR="00FC2AD8" w14:paraId="47792FC2" w14:textId="77777777">
        <w:trPr>
          <w:cantSplit w:val="0"/>
        </w:trPr>
        <w:tc>
          <w:tcPr>
            <w:tcW w:w="3628" w:type="dxa"/>
            <w:tcBorders>
              <w:top w:val="nil"/>
              <w:left w:val="nil"/>
              <w:bottom w:val="nil"/>
              <w:right w:val="nil"/>
            </w:tcBorders>
            <w:shd w:val="clear" w:color="auto" w:fill="FFFFFF"/>
          </w:tcPr>
          <w:p w14:paraId="4C94CA23" w14:textId="77777777" w:rsidR="00795E60" w:rsidRDefault="00F56376">
            <w:pPr>
              <w:pStyle w:val="Tabellcell"/>
            </w:pPr>
            <w:r>
              <w:t>Samverkansmodellen</w:t>
            </w:r>
          </w:p>
        </w:tc>
        <w:tc>
          <w:tcPr>
            <w:tcW w:w="1587" w:type="dxa"/>
            <w:tcBorders>
              <w:top w:val="nil"/>
              <w:left w:val="nil"/>
              <w:bottom w:val="nil"/>
              <w:right w:val="nil"/>
            </w:tcBorders>
            <w:shd w:val="clear" w:color="auto" w:fill="FFFFFF"/>
          </w:tcPr>
          <w:p w14:paraId="031B7982" w14:textId="77777777" w:rsidR="00795E60" w:rsidRDefault="00F56376">
            <w:pPr>
              <w:pStyle w:val="Tabellcell"/>
              <w:jc w:val="right"/>
            </w:pPr>
            <w:r>
              <w:t>1,0</w:t>
            </w:r>
          </w:p>
        </w:tc>
        <w:tc>
          <w:tcPr>
            <w:tcW w:w="1644" w:type="dxa"/>
            <w:tcBorders>
              <w:top w:val="nil"/>
              <w:left w:val="nil"/>
              <w:bottom w:val="nil"/>
              <w:right w:val="nil"/>
            </w:tcBorders>
            <w:shd w:val="clear" w:color="auto" w:fill="FFFFFF"/>
          </w:tcPr>
          <w:p w14:paraId="50112D11" w14:textId="77777777" w:rsidR="00795E60" w:rsidRDefault="00F56376">
            <w:pPr>
              <w:pStyle w:val="Tabellcell"/>
              <w:jc w:val="right"/>
            </w:pPr>
            <w:r>
              <w:t>111,2</w:t>
            </w:r>
          </w:p>
        </w:tc>
        <w:tc>
          <w:tcPr>
            <w:tcW w:w="1191" w:type="dxa"/>
            <w:tcBorders>
              <w:top w:val="nil"/>
              <w:left w:val="nil"/>
              <w:bottom w:val="nil"/>
              <w:right w:val="nil"/>
            </w:tcBorders>
            <w:shd w:val="clear" w:color="auto" w:fill="FFFFFF"/>
          </w:tcPr>
          <w:p w14:paraId="3DFAD1E6" w14:textId="77777777" w:rsidR="00795E60" w:rsidRDefault="00F56376">
            <w:pPr>
              <w:pStyle w:val="Tabellcell"/>
              <w:jc w:val="right"/>
            </w:pPr>
            <w:r>
              <w:t>0,9</w:t>
            </w:r>
          </w:p>
        </w:tc>
        <w:tc>
          <w:tcPr>
            <w:tcW w:w="1587" w:type="dxa"/>
            <w:tcBorders>
              <w:top w:val="nil"/>
              <w:left w:val="nil"/>
              <w:bottom w:val="nil"/>
              <w:right w:val="nil"/>
            </w:tcBorders>
            <w:shd w:val="clear" w:color="auto" w:fill="FFFFFF"/>
          </w:tcPr>
          <w:p w14:paraId="5A534489" w14:textId="77777777" w:rsidR="00795E60" w:rsidRDefault="00F56376">
            <w:pPr>
              <w:pStyle w:val="Tabellcell"/>
              <w:jc w:val="right"/>
            </w:pPr>
            <w:r>
              <w:t>0,5</w:t>
            </w:r>
          </w:p>
        </w:tc>
      </w:tr>
      <w:tr w:rsidR="00FC2AD8" w14:paraId="5D8ADA62" w14:textId="77777777">
        <w:trPr>
          <w:cantSplit w:val="0"/>
        </w:trPr>
        <w:tc>
          <w:tcPr>
            <w:tcW w:w="3628" w:type="dxa"/>
            <w:tcBorders>
              <w:top w:val="nil"/>
              <w:left w:val="nil"/>
              <w:bottom w:val="nil"/>
              <w:right w:val="nil"/>
            </w:tcBorders>
            <w:shd w:val="clear" w:color="auto" w:fill="FFFFFF"/>
          </w:tcPr>
          <w:p w14:paraId="0F2A0636" w14:textId="77777777" w:rsidR="00795E60" w:rsidRDefault="00F56376">
            <w:pPr>
              <w:pStyle w:val="Tabellcell"/>
            </w:pPr>
            <w:r>
              <w:t>Föreningsbidrag</w:t>
            </w:r>
          </w:p>
        </w:tc>
        <w:tc>
          <w:tcPr>
            <w:tcW w:w="1587" w:type="dxa"/>
            <w:tcBorders>
              <w:top w:val="nil"/>
              <w:left w:val="nil"/>
              <w:bottom w:val="nil"/>
              <w:right w:val="nil"/>
            </w:tcBorders>
            <w:shd w:val="clear" w:color="auto" w:fill="FFFFFF"/>
          </w:tcPr>
          <w:p w14:paraId="5A3D0C33" w14:textId="77777777" w:rsidR="00795E60" w:rsidRDefault="00F56376">
            <w:pPr>
              <w:pStyle w:val="Tabellcell"/>
              <w:jc w:val="right"/>
            </w:pPr>
            <w:r>
              <w:t>0</w:t>
            </w:r>
          </w:p>
        </w:tc>
        <w:tc>
          <w:tcPr>
            <w:tcW w:w="1644" w:type="dxa"/>
            <w:tcBorders>
              <w:top w:val="nil"/>
              <w:left w:val="nil"/>
              <w:bottom w:val="nil"/>
              <w:right w:val="nil"/>
            </w:tcBorders>
            <w:shd w:val="clear" w:color="auto" w:fill="FFFFFF"/>
          </w:tcPr>
          <w:p w14:paraId="7309DE69" w14:textId="77777777" w:rsidR="00795E60" w:rsidRDefault="00F56376">
            <w:pPr>
              <w:pStyle w:val="Tabellcell"/>
              <w:jc w:val="right"/>
            </w:pPr>
            <w:r>
              <w:t>38,4</w:t>
            </w:r>
          </w:p>
        </w:tc>
        <w:tc>
          <w:tcPr>
            <w:tcW w:w="1191" w:type="dxa"/>
            <w:tcBorders>
              <w:top w:val="nil"/>
              <w:left w:val="nil"/>
              <w:bottom w:val="nil"/>
              <w:right w:val="nil"/>
            </w:tcBorders>
            <w:shd w:val="clear" w:color="auto" w:fill="FFFFFF"/>
          </w:tcPr>
          <w:p w14:paraId="5CA652D6" w14:textId="77777777" w:rsidR="00795E60" w:rsidRDefault="00F56376">
            <w:pPr>
              <w:pStyle w:val="Tabellcell"/>
              <w:jc w:val="right"/>
            </w:pPr>
            <w:r>
              <w:t>0</w:t>
            </w:r>
          </w:p>
        </w:tc>
        <w:tc>
          <w:tcPr>
            <w:tcW w:w="1587" w:type="dxa"/>
            <w:tcBorders>
              <w:top w:val="nil"/>
              <w:left w:val="nil"/>
              <w:bottom w:val="nil"/>
              <w:right w:val="nil"/>
            </w:tcBorders>
            <w:shd w:val="clear" w:color="auto" w:fill="FFFFFF"/>
          </w:tcPr>
          <w:p w14:paraId="73C4BCC6" w14:textId="77777777" w:rsidR="00795E60" w:rsidRDefault="00F56376">
            <w:pPr>
              <w:pStyle w:val="Tabellcell"/>
              <w:jc w:val="right"/>
            </w:pPr>
            <w:r>
              <w:t>0</w:t>
            </w:r>
          </w:p>
        </w:tc>
      </w:tr>
      <w:tr w:rsidR="00FC2AD8" w14:paraId="6B496C22" w14:textId="77777777">
        <w:trPr>
          <w:cantSplit w:val="0"/>
        </w:trPr>
        <w:tc>
          <w:tcPr>
            <w:tcW w:w="3628" w:type="dxa"/>
            <w:tcBorders>
              <w:top w:val="nil"/>
              <w:left w:val="nil"/>
              <w:bottom w:val="nil"/>
              <w:right w:val="nil"/>
            </w:tcBorders>
            <w:shd w:val="clear" w:color="auto" w:fill="FFFFFF"/>
          </w:tcPr>
          <w:p w14:paraId="32E8D584" w14:textId="77777777" w:rsidR="00795E60" w:rsidRDefault="00F56376">
            <w:pPr>
              <w:pStyle w:val="Tabellcell"/>
            </w:pPr>
            <w:r>
              <w:t>Projekt</w:t>
            </w:r>
          </w:p>
        </w:tc>
        <w:tc>
          <w:tcPr>
            <w:tcW w:w="1587" w:type="dxa"/>
            <w:tcBorders>
              <w:top w:val="nil"/>
              <w:left w:val="nil"/>
              <w:bottom w:val="nil"/>
              <w:right w:val="nil"/>
            </w:tcBorders>
            <w:shd w:val="clear" w:color="auto" w:fill="FFFFFF"/>
          </w:tcPr>
          <w:p w14:paraId="295402B8" w14:textId="77777777" w:rsidR="00795E60" w:rsidRDefault="00F56376">
            <w:pPr>
              <w:pStyle w:val="Tabellcell"/>
              <w:jc w:val="right"/>
            </w:pPr>
            <w:r>
              <w:t>0</w:t>
            </w:r>
          </w:p>
        </w:tc>
        <w:tc>
          <w:tcPr>
            <w:tcW w:w="1644" w:type="dxa"/>
            <w:tcBorders>
              <w:top w:val="nil"/>
              <w:left w:val="nil"/>
              <w:bottom w:val="nil"/>
              <w:right w:val="nil"/>
            </w:tcBorders>
            <w:shd w:val="clear" w:color="auto" w:fill="FFFFFF"/>
          </w:tcPr>
          <w:p w14:paraId="16F9178D" w14:textId="77777777" w:rsidR="00795E60" w:rsidRDefault="00F56376">
            <w:pPr>
              <w:pStyle w:val="Tabellcell"/>
              <w:jc w:val="right"/>
            </w:pPr>
            <w:r>
              <w:t>3,5</w:t>
            </w:r>
          </w:p>
        </w:tc>
        <w:tc>
          <w:tcPr>
            <w:tcW w:w="1191" w:type="dxa"/>
            <w:tcBorders>
              <w:top w:val="nil"/>
              <w:left w:val="nil"/>
              <w:bottom w:val="nil"/>
              <w:right w:val="nil"/>
            </w:tcBorders>
            <w:shd w:val="clear" w:color="auto" w:fill="FFFFFF"/>
          </w:tcPr>
          <w:p w14:paraId="6D09335E" w14:textId="77777777" w:rsidR="00795E60" w:rsidRDefault="00F56376">
            <w:pPr>
              <w:pStyle w:val="Tabellcell"/>
              <w:jc w:val="right"/>
            </w:pPr>
            <w:r>
              <w:t>0</w:t>
            </w:r>
          </w:p>
        </w:tc>
        <w:tc>
          <w:tcPr>
            <w:tcW w:w="1587" w:type="dxa"/>
            <w:tcBorders>
              <w:top w:val="nil"/>
              <w:left w:val="nil"/>
              <w:bottom w:val="nil"/>
              <w:right w:val="nil"/>
            </w:tcBorders>
            <w:shd w:val="clear" w:color="auto" w:fill="FFFFFF"/>
          </w:tcPr>
          <w:p w14:paraId="1504915D" w14:textId="77777777" w:rsidR="00795E60" w:rsidRDefault="00F56376">
            <w:pPr>
              <w:pStyle w:val="Tabellcell"/>
              <w:jc w:val="right"/>
            </w:pPr>
            <w:r>
              <w:t>0</w:t>
            </w:r>
          </w:p>
        </w:tc>
      </w:tr>
      <w:tr w:rsidR="00FC2AD8" w14:paraId="38B68730" w14:textId="77777777">
        <w:trPr>
          <w:cantSplit w:val="0"/>
        </w:trPr>
        <w:tc>
          <w:tcPr>
            <w:tcW w:w="3628" w:type="dxa"/>
            <w:tcBorders>
              <w:top w:val="nil"/>
              <w:left w:val="nil"/>
              <w:bottom w:val="single" w:sz="4" w:space="0" w:color="auto"/>
              <w:right w:val="nil"/>
            </w:tcBorders>
            <w:shd w:val="clear" w:color="auto" w:fill="FFFFFF"/>
          </w:tcPr>
          <w:p w14:paraId="7AC63BE6" w14:textId="77777777" w:rsidR="00795E60" w:rsidRDefault="00F56376">
            <w:pPr>
              <w:pStyle w:val="Tabellcell"/>
            </w:pPr>
            <w:r>
              <w:t>Nämndkostnader</w:t>
            </w:r>
          </w:p>
        </w:tc>
        <w:tc>
          <w:tcPr>
            <w:tcW w:w="1587" w:type="dxa"/>
            <w:tcBorders>
              <w:top w:val="nil"/>
              <w:left w:val="nil"/>
              <w:bottom w:val="single" w:sz="4" w:space="0" w:color="auto"/>
              <w:right w:val="nil"/>
            </w:tcBorders>
            <w:shd w:val="clear" w:color="auto" w:fill="FFFFFF"/>
          </w:tcPr>
          <w:p w14:paraId="21F4E7F5" w14:textId="77777777" w:rsidR="00795E60" w:rsidRDefault="00F56376">
            <w:pPr>
              <w:pStyle w:val="Tabellcell"/>
              <w:jc w:val="right"/>
            </w:pPr>
            <w:r>
              <w:t>-0,2</w:t>
            </w:r>
          </w:p>
        </w:tc>
        <w:tc>
          <w:tcPr>
            <w:tcW w:w="1644" w:type="dxa"/>
            <w:tcBorders>
              <w:top w:val="nil"/>
              <w:left w:val="nil"/>
              <w:bottom w:val="single" w:sz="4" w:space="0" w:color="auto"/>
              <w:right w:val="nil"/>
            </w:tcBorders>
            <w:shd w:val="clear" w:color="auto" w:fill="FFFFFF"/>
          </w:tcPr>
          <w:p w14:paraId="4B737027" w14:textId="77777777" w:rsidR="00795E60" w:rsidRDefault="00F56376">
            <w:pPr>
              <w:pStyle w:val="Tabellcell"/>
              <w:jc w:val="right"/>
            </w:pPr>
            <w:r>
              <w:t>3,8</w:t>
            </w:r>
          </w:p>
        </w:tc>
        <w:tc>
          <w:tcPr>
            <w:tcW w:w="1191" w:type="dxa"/>
            <w:tcBorders>
              <w:top w:val="nil"/>
              <w:left w:val="nil"/>
              <w:bottom w:val="single" w:sz="4" w:space="0" w:color="auto"/>
              <w:right w:val="nil"/>
            </w:tcBorders>
            <w:shd w:val="clear" w:color="auto" w:fill="FFFFFF"/>
          </w:tcPr>
          <w:p w14:paraId="26A27351" w14:textId="77777777" w:rsidR="00795E60" w:rsidRDefault="00F56376">
            <w:pPr>
              <w:pStyle w:val="Tabellcell"/>
              <w:jc w:val="right"/>
            </w:pPr>
            <w:r>
              <w:t>-5,3</w:t>
            </w:r>
          </w:p>
        </w:tc>
        <w:tc>
          <w:tcPr>
            <w:tcW w:w="1587" w:type="dxa"/>
            <w:tcBorders>
              <w:top w:val="nil"/>
              <w:left w:val="nil"/>
              <w:bottom w:val="single" w:sz="4" w:space="0" w:color="auto"/>
              <w:right w:val="nil"/>
            </w:tcBorders>
            <w:shd w:val="clear" w:color="auto" w:fill="FFFFFF"/>
          </w:tcPr>
          <w:p w14:paraId="412EBA86" w14:textId="77777777" w:rsidR="00795E60" w:rsidRDefault="00F56376">
            <w:pPr>
              <w:pStyle w:val="Tabellcell"/>
              <w:jc w:val="right"/>
            </w:pPr>
            <w:r>
              <w:t>0,1</w:t>
            </w:r>
          </w:p>
        </w:tc>
      </w:tr>
      <w:tr w:rsidR="00FC2AD8" w14:paraId="77A7DCDE" w14:textId="77777777">
        <w:trPr>
          <w:cantSplit w:val="0"/>
        </w:trPr>
        <w:tc>
          <w:tcPr>
            <w:tcW w:w="3628" w:type="dxa"/>
            <w:tcBorders>
              <w:top w:val="single" w:sz="4" w:space="0" w:color="auto"/>
              <w:left w:val="nil"/>
              <w:bottom w:val="nil"/>
              <w:right w:val="nil"/>
            </w:tcBorders>
            <w:shd w:val="clear" w:color="auto" w:fill="FFFFFF"/>
          </w:tcPr>
          <w:p w14:paraId="4D6D147A" w14:textId="77777777" w:rsidR="00795E60" w:rsidRDefault="00F56376">
            <w:pPr>
              <w:pStyle w:val="Tabellcell"/>
            </w:pPr>
            <w:r>
              <w:rPr>
                <w:b/>
              </w:rPr>
              <w:t>Resultat</w:t>
            </w:r>
          </w:p>
        </w:tc>
        <w:tc>
          <w:tcPr>
            <w:tcW w:w="1587" w:type="dxa"/>
            <w:tcBorders>
              <w:top w:val="single" w:sz="4" w:space="0" w:color="auto"/>
              <w:left w:val="nil"/>
              <w:bottom w:val="nil"/>
              <w:right w:val="nil"/>
            </w:tcBorders>
            <w:shd w:val="clear" w:color="auto" w:fill="FFFFFF"/>
          </w:tcPr>
          <w:p w14:paraId="6CB77691" w14:textId="77777777" w:rsidR="00795E60" w:rsidRDefault="00F56376">
            <w:pPr>
              <w:pStyle w:val="Tabellcell"/>
              <w:jc w:val="right"/>
            </w:pPr>
            <w:r>
              <w:rPr>
                <w:b/>
              </w:rPr>
              <w:t>1,1</w:t>
            </w:r>
          </w:p>
        </w:tc>
        <w:tc>
          <w:tcPr>
            <w:tcW w:w="1644" w:type="dxa"/>
            <w:tcBorders>
              <w:top w:val="single" w:sz="4" w:space="0" w:color="auto"/>
              <w:left w:val="nil"/>
              <w:bottom w:val="nil"/>
              <w:right w:val="nil"/>
            </w:tcBorders>
            <w:shd w:val="clear" w:color="auto" w:fill="FFFFFF"/>
          </w:tcPr>
          <w:p w14:paraId="554C883E" w14:textId="77777777" w:rsidR="00795E60" w:rsidRDefault="00F56376">
            <w:pPr>
              <w:pStyle w:val="Tabellcell"/>
              <w:jc w:val="right"/>
            </w:pPr>
            <w:r>
              <w:rPr>
                <w:b/>
              </w:rPr>
              <w:t>179,4</w:t>
            </w:r>
          </w:p>
        </w:tc>
        <w:tc>
          <w:tcPr>
            <w:tcW w:w="1191" w:type="dxa"/>
            <w:tcBorders>
              <w:top w:val="single" w:sz="4" w:space="0" w:color="auto"/>
              <w:left w:val="nil"/>
              <w:bottom w:val="nil"/>
              <w:right w:val="nil"/>
            </w:tcBorders>
            <w:shd w:val="clear" w:color="auto" w:fill="FFFFFF"/>
          </w:tcPr>
          <w:p w14:paraId="74139E31" w14:textId="77777777" w:rsidR="00795E60" w:rsidRDefault="00F56376">
            <w:pPr>
              <w:pStyle w:val="Tabellcell"/>
              <w:jc w:val="right"/>
            </w:pPr>
            <w:r>
              <w:rPr>
                <w:b/>
              </w:rPr>
              <w:t>0,6</w:t>
            </w:r>
          </w:p>
        </w:tc>
        <w:tc>
          <w:tcPr>
            <w:tcW w:w="1587" w:type="dxa"/>
            <w:tcBorders>
              <w:top w:val="single" w:sz="4" w:space="0" w:color="auto"/>
              <w:left w:val="nil"/>
              <w:bottom w:val="nil"/>
              <w:right w:val="nil"/>
            </w:tcBorders>
            <w:shd w:val="clear" w:color="auto" w:fill="FFFFFF"/>
          </w:tcPr>
          <w:p w14:paraId="2FA8BEAE" w14:textId="77777777" w:rsidR="00795E60" w:rsidRDefault="00F56376">
            <w:pPr>
              <w:pStyle w:val="Tabellcell"/>
              <w:jc w:val="right"/>
            </w:pPr>
            <w:r>
              <w:rPr>
                <w:b/>
              </w:rPr>
              <w:t>2,0</w:t>
            </w:r>
          </w:p>
        </w:tc>
      </w:tr>
      <w:tr w:rsidR="00FC2AD8" w14:paraId="5D6B8B98" w14:textId="77777777">
        <w:trPr>
          <w:cantSplit w:val="0"/>
        </w:trPr>
        <w:tc>
          <w:tcPr>
            <w:tcW w:w="9637" w:type="dxa"/>
            <w:gridSpan w:val="5"/>
            <w:tcBorders>
              <w:top w:val="nil"/>
              <w:left w:val="nil"/>
              <w:bottom w:val="nil"/>
              <w:right w:val="nil"/>
            </w:tcBorders>
            <w:shd w:val="clear" w:color="auto" w:fill="FFFFFF"/>
            <w:vAlign w:val="bottom"/>
          </w:tcPr>
          <w:p w14:paraId="7DD131AC" w14:textId="77777777" w:rsidR="00795E60" w:rsidRDefault="00F56376">
            <w:pPr>
              <w:pStyle w:val="Tabellcell"/>
            </w:pPr>
            <w:r>
              <w:t xml:space="preserve">*) Definition av omsättning är ackumulerade intäkter och </w:t>
            </w:r>
            <w:r>
              <w:t>ackumulerad budgetram.</w:t>
            </w:r>
          </w:p>
        </w:tc>
      </w:tr>
    </w:tbl>
    <w:p w14:paraId="01D726A8" w14:textId="77777777" w:rsidR="00795E60" w:rsidRDefault="00F56376">
      <w:pPr>
        <w:pStyle w:val="BodyText"/>
        <w:widowControl w:val="0"/>
        <w:spacing w:before="160"/>
      </w:pPr>
      <w:r>
        <w:rPr>
          <w:b/>
        </w:rPr>
        <w:t>Ledning</w:t>
      </w:r>
    </w:p>
    <w:p w14:paraId="35F2A5BE" w14:textId="77777777" w:rsidR="00795E60" w:rsidRDefault="00F56376">
      <w:pPr>
        <w:pStyle w:val="BodyText"/>
        <w:widowControl w:val="0"/>
      </w:pPr>
      <w:r>
        <w:t>Det överskott som blev här återfinns till största delen av personalkostnaderna till följd av högre tidredovisning i projekt jämfört med budgeten samt en mindre del av ej upparbetade verksamhetsmedel för Kultur och hälsa som ingår här.</w:t>
      </w:r>
    </w:p>
    <w:p w14:paraId="38CD3208" w14:textId="77777777" w:rsidR="00795E60" w:rsidRDefault="00F56376">
      <w:pPr>
        <w:pStyle w:val="BodyText"/>
        <w:widowControl w:val="0"/>
      </w:pPr>
      <w:r>
        <w:rPr>
          <w:b/>
        </w:rPr>
        <w:t>Kulturstöd</w:t>
      </w:r>
    </w:p>
    <w:p w14:paraId="33053CBE" w14:textId="77777777" w:rsidR="00795E60" w:rsidRDefault="00F56376">
      <w:pPr>
        <w:pStyle w:val="BodyText"/>
        <w:widowControl w:val="0"/>
      </w:pPr>
      <w:r>
        <w:t>Beslut för de regionala verksamhetsmedlen har fattats av nämnden, verkställts och periodiserats enligt budget, det underskott som finns avser ett tillfälligt extra ekonomiskt bidrag för 2025 till Stiftelsen Frövifors Pappersbruksmuseum. Underskottet täcks av överskott inom bland annat ledning.</w:t>
      </w:r>
    </w:p>
    <w:p w14:paraId="6AF804B6" w14:textId="77777777" w:rsidR="00795E60" w:rsidRDefault="00F56376">
      <w:pPr>
        <w:pStyle w:val="BodyText"/>
        <w:widowControl w:val="0"/>
      </w:pPr>
      <w:r>
        <w:rPr>
          <w:b/>
        </w:rPr>
        <w:t>Civilsamhälle och socialekonomi</w:t>
      </w:r>
    </w:p>
    <w:p w14:paraId="47D9A317" w14:textId="77777777" w:rsidR="00795E60" w:rsidRDefault="00F56376">
      <w:pPr>
        <w:pStyle w:val="BodyText"/>
        <w:widowControl w:val="0"/>
      </w:pPr>
      <w:r>
        <w:lastRenderedPageBreak/>
        <w:t>Följer budgeten på ett bra sätt.</w:t>
      </w:r>
    </w:p>
    <w:p w14:paraId="035295A2" w14:textId="77777777" w:rsidR="00795E60" w:rsidRDefault="00F56376">
      <w:pPr>
        <w:pStyle w:val="BodyText"/>
        <w:widowControl w:val="0"/>
      </w:pPr>
      <w:r>
        <w:rPr>
          <w:b/>
        </w:rPr>
        <w:t>Särskilda satsningar</w:t>
      </w:r>
    </w:p>
    <w:p w14:paraId="12430706" w14:textId="77777777" w:rsidR="00795E60" w:rsidRDefault="00F56376">
      <w:pPr>
        <w:pStyle w:val="BodyText"/>
        <w:widowControl w:val="0"/>
      </w:pPr>
      <w:r>
        <w:t>Inga särskilda satsningar för 2025.</w:t>
      </w:r>
    </w:p>
    <w:p w14:paraId="30713A3D" w14:textId="77777777" w:rsidR="00795E60" w:rsidRDefault="00F56376">
      <w:pPr>
        <w:pStyle w:val="BodyText"/>
        <w:widowControl w:val="0"/>
      </w:pPr>
      <w:r>
        <w:rPr>
          <w:b/>
        </w:rPr>
        <w:t>Samverkansmodellen</w:t>
      </w:r>
    </w:p>
    <w:p w14:paraId="02D40477" w14:textId="77777777" w:rsidR="00795E60" w:rsidRDefault="00F56376">
      <w:pPr>
        <w:pStyle w:val="BodyText"/>
        <w:widowControl w:val="0"/>
      </w:pPr>
      <w:r>
        <w:t xml:space="preserve">Överskottet hittills återfinns inom område </w:t>
      </w:r>
      <w:r>
        <w:t>kultur- och ideell sektors främjandeverksamhet på grund av ej upparbetade medel samt överskott i ett projekt som avslutats sent på året.</w:t>
      </w:r>
    </w:p>
    <w:p w14:paraId="1ABBF597" w14:textId="77777777" w:rsidR="00795E60" w:rsidRDefault="00F56376">
      <w:pPr>
        <w:pStyle w:val="BodyText"/>
        <w:widowControl w:val="0"/>
      </w:pPr>
      <w:r>
        <w:t>Övriga bidrag inom samverkansmodellen har fattats av nämnden, verkställts och periodiserats enligt budget.</w:t>
      </w:r>
    </w:p>
    <w:p w14:paraId="37C969B7" w14:textId="77777777" w:rsidR="00795E60" w:rsidRDefault="00F56376">
      <w:pPr>
        <w:pStyle w:val="BodyText"/>
        <w:widowControl w:val="0"/>
      </w:pPr>
      <w:r>
        <w:rPr>
          <w:b/>
        </w:rPr>
        <w:t>Föreningsbidrag</w:t>
      </w:r>
    </w:p>
    <w:p w14:paraId="44E96361" w14:textId="77777777" w:rsidR="00795E60" w:rsidRDefault="00F56376">
      <w:pPr>
        <w:pStyle w:val="BodyText"/>
        <w:widowControl w:val="0"/>
      </w:pPr>
      <w:r>
        <w:t>Bidrag till föreningar har fattats av nämnden, verkställts och periodiserats enligt budget.</w:t>
      </w:r>
    </w:p>
    <w:p w14:paraId="4896482B" w14:textId="77777777" w:rsidR="00795E60" w:rsidRDefault="00F56376">
      <w:pPr>
        <w:pStyle w:val="BodyText"/>
        <w:widowControl w:val="0"/>
      </w:pPr>
      <w:r>
        <w:rPr>
          <w:b/>
        </w:rPr>
        <w:t>Projekt</w:t>
      </w:r>
    </w:p>
    <w:p w14:paraId="485B81D9" w14:textId="77777777" w:rsidR="00795E60" w:rsidRDefault="00F56376">
      <w:pPr>
        <w:pStyle w:val="BodyText"/>
        <w:widowControl w:val="0"/>
      </w:pPr>
      <w:r>
        <w:t>Samtliga över-/underskott i projekten har balanserats över bokslutsdagen.</w:t>
      </w:r>
    </w:p>
    <w:p w14:paraId="79912EB5" w14:textId="77777777" w:rsidR="00795E60" w:rsidRDefault="00F56376">
      <w:pPr>
        <w:pStyle w:val="BodyText"/>
        <w:widowControl w:val="0"/>
      </w:pPr>
      <w:r>
        <w:rPr>
          <w:b/>
        </w:rPr>
        <w:t>Nämndkostnader</w:t>
      </w:r>
    </w:p>
    <w:p w14:paraId="51B9BD87" w14:textId="77777777" w:rsidR="00795E60" w:rsidRDefault="00F56376">
      <w:pPr>
        <w:pStyle w:val="BodyText"/>
        <w:widowControl w:val="0"/>
      </w:pPr>
      <w:r>
        <w:t>Ett litet underskott finns här som beror på högre kanslikostnader än budgeterat vilket i sin tur beror på högre kostnader för Regionhuset än beräknat.</w:t>
      </w:r>
    </w:p>
    <w:p w14:paraId="5DA8D3E9" w14:textId="77777777" w:rsidR="00795E60" w:rsidRDefault="00F56376">
      <w:pPr>
        <w:pStyle w:val="Rubrik2"/>
      </w:pPr>
      <w:bookmarkStart w:id="8" w:name="_Toc220678298"/>
      <w:r>
        <w:t>Vidtagna åtgärder för att nå ekonomi i balans</w:t>
      </w:r>
      <w:bookmarkEnd w:id="8"/>
    </w:p>
    <w:p w14:paraId="30D672C1" w14:textId="77777777" w:rsidR="00795E60" w:rsidRDefault="00F56376">
      <w:pPr>
        <w:pStyle w:val="Tabellrubrik"/>
      </w:pPr>
      <w:r>
        <w:t>Uppföljning av beslutad handlingsplan</w:t>
      </w:r>
    </w:p>
    <w:tbl>
      <w:tblPr>
        <w:tblStyle w:val="Tabellrutnt"/>
        <w:tblOverlap w:val="never"/>
        <w:tblW w:w="0" w:type="auto"/>
        <w:tblLayout w:type="fixed"/>
        <w:tblLook w:val="04A0" w:firstRow="1" w:lastRow="0" w:firstColumn="1" w:lastColumn="0" w:noHBand="0" w:noVBand="1"/>
      </w:tblPr>
      <w:tblGrid>
        <w:gridCol w:w="2551"/>
        <w:gridCol w:w="1417"/>
        <w:gridCol w:w="1417"/>
        <w:gridCol w:w="1417"/>
        <w:gridCol w:w="1417"/>
        <w:gridCol w:w="1417"/>
      </w:tblGrid>
      <w:tr w:rsidR="00FC2AD8" w14:paraId="61BB9CA0" w14:textId="77777777">
        <w:trPr>
          <w:cantSplit w:val="0"/>
          <w:tblHeader/>
        </w:trPr>
        <w:tc>
          <w:tcPr>
            <w:tcW w:w="9636" w:type="dxa"/>
            <w:gridSpan w:val="6"/>
            <w:tcBorders>
              <w:top w:val="nil"/>
              <w:left w:val="nil"/>
              <w:bottom w:val="nil"/>
              <w:right w:val="nil"/>
            </w:tcBorders>
            <w:shd w:val="clear" w:color="auto" w:fill="FFFFFF"/>
            <w:vAlign w:val="center"/>
          </w:tcPr>
          <w:p w14:paraId="2DFD192D" w14:textId="77777777" w:rsidR="00795E60" w:rsidRDefault="00F56376">
            <w:pPr>
              <w:pStyle w:val="Tabellcell"/>
            </w:pPr>
            <w:r>
              <w:rPr>
                <w:b/>
              </w:rPr>
              <w:t>Uppföljning av intäktsförstärkningar och kostnadsreduceringar enligt regionfullmäktiges verksamhetsplan med budget 2024.</w:t>
            </w:r>
          </w:p>
        </w:tc>
      </w:tr>
      <w:tr w:rsidR="00FC2AD8" w14:paraId="4441CA35" w14:textId="77777777">
        <w:trPr>
          <w:cantSplit w:val="0"/>
        </w:trPr>
        <w:tc>
          <w:tcPr>
            <w:tcW w:w="2551"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757498B0" w14:textId="77777777" w:rsidR="00795E60" w:rsidRDefault="00795E60">
            <w:pPr>
              <w:pStyle w:val="Tabellcell"/>
            </w:pPr>
          </w:p>
        </w:tc>
        <w:tc>
          <w:tcPr>
            <w:tcW w:w="1417"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15128DBA" w14:textId="77777777" w:rsidR="00795E60" w:rsidRDefault="00795E60">
            <w:pPr>
              <w:pStyle w:val="Tabellcell"/>
            </w:pPr>
          </w:p>
        </w:tc>
        <w:tc>
          <w:tcPr>
            <w:tcW w:w="1417"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03D3E0BB" w14:textId="77777777" w:rsidR="00795E60" w:rsidRDefault="00795E60">
            <w:pPr>
              <w:pStyle w:val="Tabellcell"/>
            </w:pPr>
          </w:p>
        </w:tc>
        <w:tc>
          <w:tcPr>
            <w:tcW w:w="1417"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72611656" w14:textId="77777777" w:rsidR="00795E60" w:rsidRDefault="00795E60">
            <w:pPr>
              <w:pStyle w:val="Tabellcell"/>
            </w:pPr>
          </w:p>
        </w:tc>
        <w:tc>
          <w:tcPr>
            <w:tcW w:w="1417"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11A2C81F" w14:textId="77777777" w:rsidR="00795E60" w:rsidRDefault="00795E60">
            <w:pPr>
              <w:pStyle w:val="Tabellcell"/>
            </w:pPr>
          </w:p>
        </w:tc>
        <w:tc>
          <w:tcPr>
            <w:tcW w:w="1417" w:type="dxa"/>
            <w:tcBorders>
              <w:top w:val="nil"/>
              <w:left w:val="nil"/>
              <w:bottom w:val="single" w:sz="4" w:space="0" w:color="auto"/>
              <w:right w:val="nil"/>
            </w:tcBorders>
            <w:shd w:val="clear" w:color="auto" w:fill="FFFFFF"/>
            <w:tcMar>
              <w:top w:w="0" w:type="dxa"/>
              <w:left w:w="0" w:type="dxa"/>
              <w:bottom w:w="0" w:type="dxa"/>
              <w:right w:w="0" w:type="dxa"/>
            </w:tcMar>
            <w:vAlign w:val="center"/>
          </w:tcPr>
          <w:p w14:paraId="2CE40FE0" w14:textId="77777777" w:rsidR="00795E60" w:rsidRDefault="00795E60">
            <w:pPr>
              <w:pStyle w:val="Tabellcell"/>
            </w:pPr>
          </w:p>
        </w:tc>
      </w:tr>
      <w:tr w:rsidR="00FC2AD8" w14:paraId="6813E664" w14:textId="77777777">
        <w:trPr>
          <w:cantSplit w:val="0"/>
        </w:trPr>
        <w:tc>
          <w:tcPr>
            <w:tcW w:w="2551" w:type="dxa"/>
            <w:tcBorders>
              <w:top w:val="single" w:sz="4" w:space="0" w:color="auto"/>
              <w:left w:val="nil"/>
              <w:bottom w:val="single" w:sz="4" w:space="0" w:color="auto"/>
              <w:right w:val="single" w:sz="4" w:space="0" w:color="auto"/>
            </w:tcBorders>
            <w:shd w:val="clear" w:color="auto" w:fill="E1E9F2"/>
            <w:tcMar>
              <w:top w:w="0" w:type="dxa"/>
              <w:left w:w="0" w:type="dxa"/>
              <w:bottom w:w="0" w:type="dxa"/>
              <w:right w:w="0" w:type="dxa"/>
            </w:tcMar>
            <w:vAlign w:val="center"/>
          </w:tcPr>
          <w:p w14:paraId="2AF7382F" w14:textId="77777777" w:rsidR="00795E60" w:rsidRDefault="00795E60">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E1E9F2"/>
            <w:vAlign w:val="center"/>
          </w:tcPr>
          <w:p w14:paraId="69333040" w14:textId="77777777" w:rsidR="00795E60" w:rsidRDefault="00F56376">
            <w:pPr>
              <w:pStyle w:val="Tabellcell"/>
              <w:jc w:val="center"/>
            </w:pPr>
            <w:r>
              <w:rPr>
                <w:b/>
              </w:rPr>
              <w:t>Handlings- plan</w:t>
            </w:r>
          </w:p>
        </w:tc>
        <w:tc>
          <w:tcPr>
            <w:tcW w:w="1417" w:type="dxa"/>
            <w:tcBorders>
              <w:top w:val="single" w:sz="4" w:space="0" w:color="auto"/>
              <w:left w:val="single" w:sz="4" w:space="0" w:color="auto"/>
              <w:bottom w:val="single" w:sz="4" w:space="0" w:color="auto"/>
              <w:right w:val="single" w:sz="4" w:space="0" w:color="auto"/>
            </w:tcBorders>
            <w:shd w:val="clear" w:color="auto" w:fill="E1E9F2"/>
            <w:vAlign w:val="center"/>
          </w:tcPr>
          <w:p w14:paraId="6BCEE489" w14:textId="77777777" w:rsidR="00795E60" w:rsidRDefault="00F56376">
            <w:pPr>
              <w:pStyle w:val="Tabellcell"/>
              <w:jc w:val="center"/>
            </w:pPr>
            <w:r>
              <w:rPr>
                <w:b/>
              </w:rPr>
              <w:t>Utfall 2024</w:t>
            </w:r>
          </w:p>
        </w:tc>
        <w:tc>
          <w:tcPr>
            <w:tcW w:w="1417" w:type="dxa"/>
            <w:tcBorders>
              <w:top w:val="single" w:sz="4" w:space="0" w:color="auto"/>
              <w:left w:val="single" w:sz="4" w:space="0" w:color="auto"/>
              <w:bottom w:val="single" w:sz="4" w:space="0" w:color="auto"/>
              <w:right w:val="single" w:sz="4" w:space="0" w:color="auto"/>
            </w:tcBorders>
            <w:shd w:val="clear" w:color="auto" w:fill="E1E9F2"/>
            <w:vAlign w:val="center"/>
          </w:tcPr>
          <w:p w14:paraId="7B223B13" w14:textId="77777777" w:rsidR="00795E60" w:rsidRDefault="00F56376">
            <w:pPr>
              <w:pStyle w:val="Tabellcell"/>
              <w:jc w:val="center"/>
            </w:pPr>
            <w:r>
              <w:rPr>
                <w:b/>
              </w:rPr>
              <w:t>Utfall 2025</w:t>
            </w:r>
          </w:p>
        </w:tc>
        <w:tc>
          <w:tcPr>
            <w:tcW w:w="1417" w:type="dxa"/>
            <w:tcBorders>
              <w:top w:val="single" w:sz="4" w:space="0" w:color="auto"/>
              <w:left w:val="single" w:sz="4" w:space="0" w:color="auto"/>
              <w:bottom w:val="single" w:sz="4" w:space="0" w:color="auto"/>
              <w:right w:val="single" w:sz="4" w:space="0" w:color="auto"/>
            </w:tcBorders>
            <w:shd w:val="clear" w:color="auto" w:fill="E1E9F2"/>
            <w:vAlign w:val="center"/>
          </w:tcPr>
          <w:p w14:paraId="6B4149E7" w14:textId="77777777" w:rsidR="00795E60" w:rsidRDefault="00F56376">
            <w:pPr>
              <w:pStyle w:val="Tabellcell"/>
              <w:jc w:val="center"/>
            </w:pPr>
            <w:r>
              <w:rPr>
                <w:b/>
              </w:rPr>
              <w:t>Prognos 2026</w:t>
            </w:r>
          </w:p>
        </w:tc>
        <w:tc>
          <w:tcPr>
            <w:tcW w:w="1417" w:type="dxa"/>
            <w:tcBorders>
              <w:top w:val="single" w:sz="4" w:space="0" w:color="auto"/>
              <w:left w:val="single" w:sz="4" w:space="0" w:color="auto"/>
              <w:bottom w:val="single" w:sz="4" w:space="0" w:color="auto"/>
              <w:right w:val="nil"/>
            </w:tcBorders>
            <w:shd w:val="clear" w:color="auto" w:fill="E1E9F2"/>
            <w:vAlign w:val="center"/>
          </w:tcPr>
          <w:p w14:paraId="42BD0274" w14:textId="77777777" w:rsidR="00795E60" w:rsidRDefault="00F56376">
            <w:pPr>
              <w:pStyle w:val="Tabellcell"/>
              <w:jc w:val="center"/>
            </w:pPr>
            <w:r>
              <w:rPr>
                <w:b/>
              </w:rPr>
              <w:t>Total           prognos-     period</w:t>
            </w:r>
          </w:p>
        </w:tc>
      </w:tr>
      <w:tr w:rsidR="00FC2AD8" w14:paraId="403F66FE" w14:textId="77777777">
        <w:trPr>
          <w:cantSplit w:val="0"/>
        </w:trPr>
        <w:tc>
          <w:tcPr>
            <w:tcW w:w="2551"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5E7A8AC1" w14:textId="77777777" w:rsidR="00795E60" w:rsidRDefault="00795E60">
            <w:pPr>
              <w:pStyle w:val="Tabellcell"/>
            </w:pPr>
          </w:p>
        </w:tc>
        <w:tc>
          <w:tcPr>
            <w:tcW w:w="1417"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1E29F4B1" w14:textId="77777777" w:rsidR="00795E60" w:rsidRDefault="00795E60">
            <w:pPr>
              <w:pStyle w:val="Tabellcell"/>
            </w:pPr>
          </w:p>
        </w:tc>
        <w:tc>
          <w:tcPr>
            <w:tcW w:w="1417"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4A9CF754" w14:textId="77777777" w:rsidR="00795E60" w:rsidRDefault="00795E60">
            <w:pPr>
              <w:pStyle w:val="Tabellcell"/>
            </w:pPr>
          </w:p>
        </w:tc>
        <w:tc>
          <w:tcPr>
            <w:tcW w:w="1417"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02C920DE" w14:textId="77777777" w:rsidR="00795E60" w:rsidRDefault="00795E60">
            <w:pPr>
              <w:pStyle w:val="Tabellcell"/>
            </w:pPr>
          </w:p>
        </w:tc>
        <w:tc>
          <w:tcPr>
            <w:tcW w:w="1417"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78FEA5D5" w14:textId="77777777" w:rsidR="00795E60" w:rsidRDefault="00795E60">
            <w:pPr>
              <w:pStyle w:val="Tabellcell"/>
            </w:pPr>
          </w:p>
        </w:tc>
        <w:tc>
          <w:tcPr>
            <w:tcW w:w="1417" w:type="dxa"/>
            <w:tcBorders>
              <w:top w:val="single" w:sz="4" w:space="0" w:color="auto"/>
              <w:left w:val="nil"/>
              <w:bottom w:val="nil"/>
              <w:right w:val="nil"/>
            </w:tcBorders>
            <w:shd w:val="clear" w:color="auto" w:fill="FFFFFF"/>
            <w:tcMar>
              <w:top w:w="0" w:type="dxa"/>
              <w:left w:w="0" w:type="dxa"/>
              <w:bottom w:w="0" w:type="dxa"/>
              <w:right w:w="0" w:type="dxa"/>
            </w:tcMar>
            <w:vAlign w:val="center"/>
          </w:tcPr>
          <w:p w14:paraId="5C2CDDA2" w14:textId="77777777" w:rsidR="00795E60" w:rsidRDefault="00795E60">
            <w:pPr>
              <w:pStyle w:val="Tabellcell"/>
            </w:pPr>
          </w:p>
        </w:tc>
      </w:tr>
      <w:tr w:rsidR="00FC2AD8" w14:paraId="66CE51C8" w14:textId="77777777">
        <w:trPr>
          <w:cantSplit w:val="0"/>
        </w:trPr>
        <w:tc>
          <w:tcPr>
            <w:tcW w:w="9636" w:type="dxa"/>
            <w:gridSpan w:val="6"/>
            <w:tcBorders>
              <w:top w:val="nil"/>
              <w:left w:val="nil"/>
              <w:bottom w:val="single" w:sz="4" w:space="0" w:color="auto"/>
              <w:right w:val="nil"/>
            </w:tcBorders>
            <w:shd w:val="clear" w:color="auto" w:fill="FFFFFF"/>
            <w:vAlign w:val="bottom"/>
          </w:tcPr>
          <w:p w14:paraId="5B5F01A1" w14:textId="77777777" w:rsidR="00795E60" w:rsidRDefault="00F56376">
            <w:pPr>
              <w:pStyle w:val="Tabellcell"/>
            </w:pPr>
            <w:r>
              <w:rPr>
                <w:b/>
              </w:rPr>
              <w:t>Antal minskade årsarbetare, enligt avtalad tjänstgöringsgrad</w:t>
            </w:r>
          </w:p>
        </w:tc>
      </w:tr>
      <w:tr w:rsidR="00FC2AD8" w14:paraId="64BABF48" w14:textId="77777777">
        <w:trPr>
          <w:cantSplit w:val="0"/>
        </w:trPr>
        <w:tc>
          <w:tcPr>
            <w:tcW w:w="2551" w:type="dxa"/>
            <w:tcBorders>
              <w:top w:val="single" w:sz="4" w:space="0" w:color="auto"/>
              <w:left w:val="nil"/>
              <w:bottom w:val="single" w:sz="4" w:space="0" w:color="auto"/>
              <w:right w:val="single" w:sz="4" w:space="0" w:color="auto"/>
            </w:tcBorders>
            <w:shd w:val="clear" w:color="auto" w:fill="FFFFFF"/>
          </w:tcPr>
          <w:p w14:paraId="14244CC3" w14:textId="77777777" w:rsidR="00795E60" w:rsidRDefault="00F56376">
            <w:pPr>
              <w:pStyle w:val="Tabellcell"/>
            </w:pPr>
            <w:r>
              <w:t>Antal årsarbetare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FA185EB" w14:textId="77777777" w:rsidR="00795E60" w:rsidRDefault="00F56376">
            <w:pPr>
              <w:pStyle w:val="Tabellcell"/>
              <w:jc w:val="right"/>
            </w:pPr>
            <w:r>
              <w:t>1,0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29B613D" w14:textId="77777777" w:rsidR="00795E60" w:rsidRDefault="00F56376">
            <w:pPr>
              <w:pStyle w:val="Tabellcell"/>
              <w:jc w:val="right"/>
            </w:pPr>
            <w:r>
              <w:t>1,0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DEE24F9" w14:textId="77777777" w:rsidR="00795E60" w:rsidRDefault="00F56376">
            <w:pPr>
              <w:pStyle w:val="Tabellcell"/>
              <w:jc w:val="right"/>
            </w:pPr>
            <w:r>
              <w:t>1,0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0D26B2" w14:textId="77777777" w:rsidR="00795E60" w:rsidRDefault="00F56376">
            <w:pPr>
              <w:pStyle w:val="Tabellcell"/>
              <w:jc w:val="right"/>
            </w:pPr>
            <w:r>
              <w:t>1,0</w:t>
            </w:r>
          </w:p>
        </w:tc>
        <w:tc>
          <w:tcPr>
            <w:tcW w:w="1417" w:type="dxa"/>
            <w:tcBorders>
              <w:top w:val="single" w:sz="4" w:space="0" w:color="auto"/>
              <w:left w:val="single" w:sz="4" w:space="0" w:color="auto"/>
              <w:bottom w:val="single" w:sz="4" w:space="0" w:color="auto"/>
              <w:right w:val="nil"/>
            </w:tcBorders>
            <w:shd w:val="clear" w:color="auto" w:fill="FFFFFF"/>
          </w:tcPr>
          <w:p w14:paraId="17925B06" w14:textId="77777777" w:rsidR="00795E60" w:rsidRDefault="00F56376">
            <w:pPr>
              <w:pStyle w:val="Tabellcell"/>
              <w:jc w:val="right"/>
            </w:pPr>
            <w:r>
              <w:t>1,0</w:t>
            </w:r>
          </w:p>
        </w:tc>
      </w:tr>
      <w:tr w:rsidR="00FC2AD8" w14:paraId="09BCC148" w14:textId="77777777">
        <w:trPr>
          <w:cantSplit w:val="0"/>
        </w:trPr>
        <w:tc>
          <w:tcPr>
            <w:tcW w:w="2551" w:type="dxa"/>
            <w:tcBorders>
              <w:top w:val="single" w:sz="4" w:space="0" w:color="auto"/>
              <w:left w:val="nil"/>
              <w:bottom w:val="nil"/>
              <w:right w:val="nil"/>
            </w:tcBorders>
            <w:shd w:val="clear" w:color="auto" w:fill="FFFFFF"/>
            <w:tcMar>
              <w:top w:w="0" w:type="dxa"/>
              <w:left w:w="0" w:type="dxa"/>
              <w:bottom w:w="0" w:type="dxa"/>
              <w:right w:w="0" w:type="dxa"/>
            </w:tcMar>
          </w:tcPr>
          <w:p w14:paraId="6B491FA5" w14:textId="77777777" w:rsidR="00795E60" w:rsidRDefault="00795E60">
            <w:pPr>
              <w:pStyle w:val="Tabellcell"/>
            </w:pPr>
          </w:p>
        </w:tc>
        <w:tc>
          <w:tcPr>
            <w:tcW w:w="1417" w:type="dxa"/>
            <w:tcBorders>
              <w:top w:val="single" w:sz="4" w:space="0" w:color="auto"/>
              <w:left w:val="nil"/>
              <w:bottom w:val="nil"/>
              <w:right w:val="nil"/>
            </w:tcBorders>
            <w:shd w:val="clear" w:color="auto" w:fill="FFFFFF"/>
            <w:tcMar>
              <w:top w:w="0" w:type="dxa"/>
              <w:left w:w="0" w:type="dxa"/>
              <w:bottom w:w="0" w:type="dxa"/>
              <w:right w:w="0" w:type="dxa"/>
            </w:tcMar>
          </w:tcPr>
          <w:p w14:paraId="6F4FEBC2" w14:textId="77777777" w:rsidR="00795E60" w:rsidRDefault="00795E60">
            <w:pPr>
              <w:pStyle w:val="Tabellcell"/>
            </w:pPr>
          </w:p>
        </w:tc>
        <w:tc>
          <w:tcPr>
            <w:tcW w:w="1417" w:type="dxa"/>
            <w:tcBorders>
              <w:top w:val="single" w:sz="4" w:space="0" w:color="auto"/>
              <w:left w:val="nil"/>
              <w:bottom w:val="nil"/>
              <w:right w:val="nil"/>
            </w:tcBorders>
            <w:shd w:val="clear" w:color="auto" w:fill="FFFFFF"/>
            <w:tcMar>
              <w:top w:w="0" w:type="dxa"/>
              <w:left w:w="0" w:type="dxa"/>
              <w:bottom w:w="0" w:type="dxa"/>
              <w:right w:w="0" w:type="dxa"/>
            </w:tcMar>
          </w:tcPr>
          <w:p w14:paraId="68146431" w14:textId="77777777" w:rsidR="00795E60" w:rsidRDefault="00795E60">
            <w:pPr>
              <w:pStyle w:val="Tabellcell"/>
            </w:pPr>
          </w:p>
        </w:tc>
        <w:tc>
          <w:tcPr>
            <w:tcW w:w="1417" w:type="dxa"/>
            <w:tcBorders>
              <w:top w:val="single" w:sz="4" w:space="0" w:color="auto"/>
              <w:left w:val="nil"/>
              <w:bottom w:val="nil"/>
              <w:right w:val="nil"/>
            </w:tcBorders>
            <w:shd w:val="clear" w:color="auto" w:fill="FFFFFF"/>
            <w:tcMar>
              <w:top w:w="0" w:type="dxa"/>
              <w:left w:w="0" w:type="dxa"/>
              <w:bottom w:w="0" w:type="dxa"/>
              <w:right w:w="0" w:type="dxa"/>
            </w:tcMar>
          </w:tcPr>
          <w:p w14:paraId="7154893C" w14:textId="77777777" w:rsidR="00795E60" w:rsidRDefault="00795E60">
            <w:pPr>
              <w:pStyle w:val="Tabellcell"/>
            </w:pPr>
          </w:p>
        </w:tc>
        <w:tc>
          <w:tcPr>
            <w:tcW w:w="1417" w:type="dxa"/>
            <w:tcBorders>
              <w:top w:val="single" w:sz="4" w:space="0" w:color="auto"/>
              <w:left w:val="nil"/>
              <w:bottom w:val="nil"/>
              <w:right w:val="nil"/>
            </w:tcBorders>
            <w:shd w:val="clear" w:color="auto" w:fill="FFFFFF"/>
            <w:tcMar>
              <w:top w:w="0" w:type="dxa"/>
              <w:left w:w="0" w:type="dxa"/>
              <w:bottom w:w="0" w:type="dxa"/>
              <w:right w:w="0" w:type="dxa"/>
            </w:tcMar>
          </w:tcPr>
          <w:p w14:paraId="5321B00B" w14:textId="77777777" w:rsidR="00795E60" w:rsidRDefault="00795E60">
            <w:pPr>
              <w:pStyle w:val="Tabellcell"/>
            </w:pPr>
          </w:p>
        </w:tc>
        <w:tc>
          <w:tcPr>
            <w:tcW w:w="1417" w:type="dxa"/>
            <w:tcBorders>
              <w:top w:val="single" w:sz="4" w:space="0" w:color="auto"/>
              <w:left w:val="nil"/>
              <w:bottom w:val="nil"/>
              <w:right w:val="nil"/>
            </w:tcBorders>
            <w:shd w:val="clear" w:color="auto" w:fill="FFFFFF"/>
            <w:tcMar>
              <w:top w:w="0" w:type="dxa"/>
              <w:left w:w="0" w:type="dxa"/>
              <w:bottom w:w="0" w:type="dxa"/>
              <w:right w:w="0" w:type="dxa"/>
            </w:tcMar>
          </w:tcPr>
          <w:p w14:paraId="4E6B698A" w14:textId="77777777" w:rsidR="00795E60" w:rsidRDefault="00795E60">
            <w:pPr>
              <w:pStyle w:val="Tabellcell"/>
            </w:pPr>
          </w:p>
        </w:tc>
      </w:tr>
      <w:tr w:rsidR="00FC2AD8" w14:paraId="6DFD49BF" w14:textId="77777777">
        <w:trPr>
          <w:cantSplit w:val="0"/>
        </w:trPr>
        <w:tc>
          <w:tcPr>
            <w:tcW w:w="9636" w:type="dxa"/>
            <w:gridSpan w:val="6"/>
            <w:tcBorders>
              <w:top w:val="nil"/>
              <w:left w:val="nil"/>
              <w:bottom w:val="single" w:sz="4" w:space="0" w:color="auto"/>
              <w:right w:val="nil"/>
            </w:tcBorders>
            <w:shd w:val="clear" w:color="auto" w:fill="FFFFFF"/>
            <w:vAlign w:val="bottom"/>
          </w:tcPr>
          <w:p w14:paraId="294F9B15" w14:textId="77777777" w:rsidR="00795E60" w:rsidRDefault="00F56376">
            <w:pPr>
              <w:pStyle w:val="Tabellcell"/>
            </w:pPr>
            <w:r>
              <w:rPr>
                <w:b/>
              </w:rPr>
              <w:t>Synliga effekter i ekonomin (mnkr)</w:t>
            </w:r>
          </w:p>
        </w:tc>
      </w:tr>
      <w:tr w:rsidR="00FC2AD8" w14:paraId="5517BA25" w14:textId="77777777">
        <w:trPr>
          <w:cantSplit w:val="0"/>
        </w:trPr>
        <w:tc>
          <w:tcPr>
            <w:tcW w:w="2551" w:type="dxa"/>
            <w:tcBorders>
              <w:top w:val="single" w:sz="4" w:space="0" w:color="auto"/>
              <w:left w:val="nil"/>
              <w:bottom w:val="single" w:sz="4" w:space="0" w:color="auto"/>
              <w:right w:val="single" w:sz="4" w:space="0" w:color="auto"/>
            </w:tcBorders>
            <w:shd w:val="clear" w:color="auto" w:fill="FFFFFF"/>
          </w:tcPr>
          <w:p w14:paraId="29030B6A" w14:textId="77777777" w:rsidR="00795E60" w:rsidRDefault="00F56376">
            <w:pPr>
              <w:pStyle w:val="Tabellcell"/>
            </w:pPr>
            <w:r>
              <w:t>Intäkter</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4D9B20E" w14:textId="77777777" w:rsidR="00795E60" w:rsidRDefault="00795E60">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E90A70A" w14:textId="77777777" w:rsidR="00795E60" w:rsidRDefault="00795E60">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E651075" w14:textId="77777777" w:rsidR="00795E60" w:rsidRDefault="00795E60">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63552F0" w14:textId="77777777" w:rsidR="00795E60" w:rsidRDefault="00795E60">
            <w:pPr>
              <w:pStyle w:val="Tabellcell"/>
            </w:pPr>
          </w:p>
        </w:tc>
        <w:tc>
          <w:tcPr>
            <w:tcW w:w="141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6BB9389" w14:textId="77777777" w:rsidR="00795E60" w:rsidRDefault="00795E60">
            <w:pPr>
              <w:pStyle w:val="Tabellcell"/>
            </w:pPr>
          </w:p>
        </w:tc>
      </w:tr>
      <w:tr w:rsidR="00FC2AD8" w14:paraId="5EFA680B" w14:textId="77777777">
        <w:trPr>
          <w:cantSplit w:val="0"/>
        </w:trPr>
        <w:tc>
          <w:tcPr>
            <w:tcW w:w="2551" w:type="dxa"/>
            <w:tcBorders>
              <w:top w:val="single" w:sz="4" w:space="0" w:color="auto"/>
              <w:left w:val="nil"/>
              <w:bottom w:val="single" w:sz="4" w:space="0" w:color="auto"/>
              <w:right w:val="single" w:sz="4" w:space="0" w:color="auto"/>
            </w:tcBorders>
            <w:shd w:val="clear" w:color="auto" w:fill="FFFFFF"/>
          </w:tcPr>
          <w:p w14:paraId="0A4D134F" w14:textId="77777777" w:rsidR="00795E60" w:rsidRDefault="00F56376">
            <w:pPr>
              <w:pStyle w:val="Tabellcell"/>
            </w:pPr>
            <w:r>
              <w:t>Hyrläkare</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9EA6676" w14:textId="77777777" w:rsidR="00795E60" w:rsidRDefault="00795E60">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0698F83" w14:textId="77777777" w:rsidR="00795E60" w:rsidRDefault="00795E60">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CB37BD8" w14:textId="77777777" w:rsidR="00795E60" w:rsidRDefault="00795E60">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A2CC7B" w14:textId="77777777" w:rsidR="00795E60" w:rsidRDefault="00795E60">
            <w:pPr>
              <w:pStyle w:val="Tabellcell"/>
            </w:pPr>
          </w:p>
        </w:tc>
        <w:tc>
          <w:tcPr>
            <w:tcW w:w="1417"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C8B81AC" w14:textId="77777777" w:rsidR="00795E60" w:rsidRDefault="00795E60">
            <w:pPr>
              <w:pStyle w:val="Tabellcell"/>
            </w:pPr>
          </w:p>
        </w:tc>
      </w:tr>
      <w:tr w:rsidR="00FC2AD8" w14:paraId="20453C0E" w14:textId="77777777">
        <w:trPr>
          <w:cantSplit w:val="0"/>
        </w:trPr>
        <w:tc>
          <w:tcPr>
            <w:tcW w:w="2551" w:type="dxa"/>
            <w:tcBorders>
              <w:top w:val="single" w:sz="4" w:space="0" w:color="auto"/>
              <w:left w:val="nil"/>
              <w:bottom w:val="single" w:sz="4" w:space="0" w:color="auto"/>
              <w:right w:val="single" w:sz="4" w:space="0" w:color="auto"/>
            </w:tcBorders>
            <w:shd w:val="clear" w:color="auto" w:fill="FFFFFF"/>
          </w:tcPr>
          <w:p w14:paraId="47764F8D" w14:textId="77777777" w:rsidR="00795E60" w:rsidRDefault="00F56376">
            <w:pPr>
              <w:pStyle w:val="Tabellcell"/>
            </w:pPr>
            <w:r>
              <w:t>Personalkostnader</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0D6C118" w14:textId="77777777" w:rsidR="00795E60" w:rsidRDefault="00F56376">
            <w:pPr>
              <w:pStyle w:val="Tabellcell"/>
              <w:jc w:val="right"/>
            </w:pPr>
            <w:r>
              <w:t>0,9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9BA8CA2" w14:textId="77777777" w:rsidR="00795E60" w:rsidRDefault="00F56376">
            <w:pPr>
              <w:pStyle w:val="Tabellcell"/>
              <w:jc w:val="right"/>
            </w:pPr>
            <w:r>
              <w:t>1,2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4B217AA" w14:textId="77777777" w:rsidR="00795E60" w:rsidRDefault="00F56376">
            <w:pPr>
              <w:pStyle w:val="Tabellcell"/>
              <w:jc w:val="right"/>
            </w:pPr>
            <w:r>
              <w:t>0,7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F42B56B" w14:textId="77777777" w:rsidR="00795E60" w:rsidRDefault="00F56376">
            <w:pPr>
              <w:pStyle w:val="Tabellcell"/>
              <w:jc w:val="right"/>
            </w:pPr>
            <w:r>
              <w:t>0,7</w:t>
            </w:r>
          </w:p>
        </w:tc>
        <w:tc>
          <w:tcPr>
            <w:tcW w:w="1417" w:type="dxa"/>
            <w:tcBorders>
              <w:top w:val="single" w:sz="4" w:space="0" w:color="auto"/>
              <w:left w:val="single" w:sz="4" w:space="0" w:color="auto"/>
              <w:bottom w:val="single" w:sz="4" w:space="0" w:color="auto"/>
              <w:right w:val="nil"/>
            </w:tcBorders>
            <w:shd w:val="clear" w:color="auto" w:fill="FFFFFF"/>
          </w:tcPr>
          <w:p w14:paraId="2D36897D" w14:textId="77777777" w:rsidR="00795E60" w:rsidRDefault="00F56376">
            <w:pPr>
              <w:pStyle w:val="Tabellcell"/>
              <w:jc w:val="right"/>
            </w:pPr>
            <w:r>
              <w:t>0,7</w:t>
            </w:r>
          </w:p>
        </w:tc>
      </w:tr>
      <w:tr w:rsidR="00FC2AD8" w14:paraId="1CCD1CA6" w14:textId="77777777">
        <w:trPr>
          <w:cantSplit w:val="0"/>
        </w:trPr>
        <w:tc>
          <w:tcPr>
            <w:tcW w:w="2551" w:type="dxa"/>
            <w:tcBorders>
              <w:top w:val="single" w:sz="4" w:space="0" w:color="auto"/>
              <w:left w:val="nil"/>
              <w:bottom w:val="single" w:sz="4" w:space="0" w:color="auto"/>
              <w:right w:val="single" w:sz="4" w:space="0" w:color="auto"/>
            </w:tcBorders>
            <w:shd w:val="clear" w:color="auto" w:fill="FFFFFF"/>
          </w:tcPr>
          <w:p w14:paraId="1B1DAF0B" w14:textId="77777777" w:rsidR="00795E60" w:rsidRDefault="00F56376">
            <w:pPr>
              <w:pStyle w:val="Tabellcell"/>
            </w:pPr>
            <w:r>
              <w:t>Övriga kostnader</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CD0F72F" w14:textId="77777777" w:rsidR="00795E60" w:rsidRDefault="00F56376">
            <w:pPr>
              <w:pStyle w:val="Tabellcell"/>
              <w:jc w:val="right"/>
            </w:pPr>
            <w:r>
              <w:t>17,2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7A7BD22" w14:textId="77777777" w:rsidR="00795E60" w:rsidRDefault="00F56376">
            <w:pPr>
              <w:pStyle w:val="Tabellcell"/>
              <w:jc w:val="right"/>
            </w:pPr>
            <w:r>
              <w:t>17,2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90FB33E" w14:textId="77777777" w:rsidR="00795E60" w:rsidRDefault="00F56376">
            <w:pPr>
              <w:pStyle w:val="Tabellcell"/>
              <w:jc w:val="right"/>
            </w:pPr>
            <w:r>
              <w:t>17,2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A5C2EF5" w14:textId="77777777" w:rsidR="00795E60" w:rsidRDefault="00F56376">
            <w:pPr>
              <w:pStyle w:val="Tabellcell"/>
              <w:jc w:val="right"/>
            </w:pPr>
            <w:r>
              <w:t>17,2</w:t>
            </w:r>
          </w:p>
        </w:tc>
        <w:tc>
          <w:tcPr>
            <w:tcW w:w="1417" w:type="dxa"/>
            <w:tcBorders>
              <w:top w:val="single" w:sz="4" w:space="0" w:color="auto"/>
              <w:left w:val="single" w:sz="4" w:space="0" w:color="auto"/>
              <w:bottom w:val="single" w:sz="4" w:space="0" w:color="auto"/>
              <w:right w:val="nil"/>
            </w:tcBorders>
            <w:shd w:val="clear" w:color="auto" w:fill="FFFFFF"/>
          </w:tcPr>
          <w:p w14:paraId="4D825A40" w14:textId="77777777" w:rsidR="00795E60" w:rsidRDefault="00F56376">
            <w:pPr>
              <w:pStyle w:val="Tabellcell"/>
              <w:jc w:val="right"/>
            </w:pPr>
            <w:r>
              <w:t>17,2</w:t>
            </w:r>
          </w:p>
        </w:tc>
      </w:tr>
      <w:tr w:rsidR="00FC2AD8" w14:paraId="0E6CB051" w14:textId="77777777">
        <w:trPr>
          <w:cantSplit w:val="0"/>
        </w:trPr>
        <w:tc>
          <w:tcPr>
            <w:tcW w:w="2551" w:type="dxa"/>
            <w:tcBorders>
              <w:top w:val="single" w:sz="4" w:space="0" w:color="auto"/>
              <w:left w:val="nil"/>
              <w:bottom w:val="single" w:sz="4" w:space="0" w:color="auto"/>
              <w:right w:val="single" w:sz="4" w:space="0" w:color="auto"/>
            </w:tcBorders>
            <w:shd w:val="clear" w:color="auto" w:fill="FFFFFF"/>
          </w:tcPr>
          <w:p w14:paraId="03D0C627" w14:textId="77777777" w:rsidR="00795E60" w:rsidRDefault="00F56376">
            <w:pPr>
              <w:pStyle w:val="Tabellcell"/>
            </w:pPr>
            <w:r>
              <w:rPr>
                <w:b/>
              </w:rPr>
              <w:t>Summa</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B4E8255" w14:textId="77777777" w:rsidR="00795E60" w:rsidRDefault="00F56376">
            <w:pPr>
              <w:pStyle w:val="Tabellcell"/>
              <w:jc w:val="right"/>
            </w:pPr>
            <w:r>
              <w:rPr>
                <w:b/>
              </w:rPr>
              <w:t>18,1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DEAF19D" w14:textId="77777777" w:rsidR="00795E60" w:rsidRDefault="00F56376">
            <w:pPr>
              <w:pStyle w:val="Tabellcell"/>
              <w:jc w:val="right"/>
            </w:pPr>
            <w:r>
              <w:rPr>
                <w:b/>
              </w:rPr>
              <w:t>18,4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943DBE5" w14:textId="77777777" w:rsidR="00795E60" w:rsidRDefault="00F56376">
            <w:pPr>
              <w:pStyle w:val="Tabellcell"/>
              <w:jc w:val="right"/>
            </w:pPr>
            <w:r>
              <w:rPr>
                <w:b/>
              </w:rPr>
              <w:t>17,9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B579B17" w14:textId="77777777" w:rsidR="00795E60" w:rsidRDefault="00F56376">
            <w:pPr>
              <w:pStyle w:val="Tabellcell"/>
              <w:jc w:val="right"/>
            </w:pPr>
            <w:r>
              <w:rPr>
                <w:b/>
              </w:rPr>
              <w:t>17,9</w:t>
            </w:r>
          </w:p>
        </w:tc>
        <w:tc>
          <w:tcPr>
            <w:tcW w:w="1417" w:type="dxa"/>
            <w:tcBorders>
              <w:top w:val="single" w:sz="4" w:space="0" w:color="auto"/>
              <w:left w:val="single" w:sz="4" w:space="0" w:color="auto"/>
              <w:bottom w:val="single" w:sz="4" w:space="0" w:color="auto"/>
              <w:right w:val="nil"/>
            </w:tcBorders>
            <w:shd w:val="clear" w:color="auto" w:fill="FFFFFF"/>
          </w:tcPr>
          <w:p w14:paraId="3AE56BFE" w14:textId="77777777" w:rsidR="00795E60" w:rsidRDefault="00F56376">
            <w:pPr>
              <w:pStyle w:val="Tabellcell"/>
              <w:jc w:val="right"/>
            </w:pPr>
            <w:r>
              <w:rPr>
                <w:b/>
              </w:rPr>
              <w:t>17,9</w:t>
            </w:r>
          </w:p>
        </w:tc>
      </w:tr>
    </w:tbl>
    <w:p w14:paraId="7AB4BA03" w14:textId="77777777" w:rsidR="00795E60" w:rsidRDefault="00F56376">
      <w:pPr>
        <w:pStyle w:val="BodyText"/>
        <w:widowControl w:val="0"/>
        <w:spacing w:before="160"/>
      </w:pPr>
      <w:r>
        <w:t xml:space="preserve">Handlingsplanen bygger på 14 åtgärder och i helårsuppföljningen kan 13 åtgärder anses som uppfyllda. En </w:t>
      </w:r>
      <w:r>
        <w:lastRenderedPageBreak/>
        <w:t>åtgärd (0,2 Mnkr) bedöms inte ge några synliga effekter på helhetsnivå inom Region Örebro län då det avser flytt av tjänst till förvaltningskansliet som köps tillbaka av verksamheten inom Kulturnämnden.</w:t>
      </w:r>
    </w:p>
    <w:p w14:paraId="0250F3D7" w14:textId="77777777" w:rsidR="00795E60" w:rsidRDefault="00F56376">
      <w:pPr>
        <w:pStyle w:val="BodyText"/>
        <w:widowControl w:val="0"/>
      </w:pPr>
      <w:r>
        <w:t>För 2025 visar Kulturnämndens resultat att nämnden lämnar ett överskott på 1,1 miljoner kronor. I och med detta överskott har verksamheten hanterat bortfallet i handlingsplanen på 0,2 miljoner kronor.</w:t>
      </w:r>
    </w:p>
    <w:p w14:paraId="76A71E33" w14:textId="77777777" w:rsidR="00795E60" w:rsidRDefault="00F56376">
      <w:pPr>
        <w:pStyle w:val="BodyText"/>
        <w:widowControl w:val="0"/>
      </w:pPr>
      <w:r>
        <w:t>Vid helårsuppföljningen av handlingsplanen 2025 bedöms det att inga ytterligare åtgärder är nödvändiga för att Kulturnämnden ska säkerställa en långsiktig ekonomi i balans.</w:t>
      </w:r>
    </w:p>
    <w:p w14:paraId="043E72FC" w14:textId="77777777" w:rsidR="00795E60" w:rsidRDefault="00F56376">
      <w:pPr>
        <w:pStyle w:val="BodyText"/>
        <w:widowControl w:val="0"/>
      </w:pPr>
      <w:r>
        <w:t>Se även bilaga i ärendet "Uppföljning av handlingsplan jan-dec 2025_Kulturnämnden".</w:t>
      </w:r>
    </w:p>
    <w:p w14:paraId="6ACDD9AD" w14:textId="77777777" w:rsidR="00795E60" w:rsidRDefault="00F56376">
      <w:pPr>
        <w:pStyle w:val="Rubrik2"/>
      </w:pPr>
      <w:bookmarkStart w:id="9" w:name="_Toc220678299"/>
      <w:r>
        <w:t>Produktions- och nyckeltal</w:t>
      </w:r>
      <w:bookmarkEnd w:id="9"/>
    </w:p>
    <w:p w14:paraId="7624C186" w14:textId="77777777" w:rsidR="00795E60" w:rsidRDefault="00F56376">
      <w:pPr>
        <w:pStyle w:val="Rubrik1"/>
      </w:pPr>
      <w:bookmarkStart w:id="10" w:name="_Toc220678300"/>
      <w:r>
        <w:t>Personalekonomi</w:t>
      </w:r>
      <w:bookmarkEnd w:id="10"/>
    </w:p>
    <w:p w14:paraId="7B211F4C" w14:textId="77777777" w:rsidR="00795E60" w:rsidRDefault="00F56376">
      <w:pPr>
        <w:pStyle w:val="Rubrik2"/>
      </w:pPr>
      <w:bookmarkStart w:id="11" w:name="_Toc220678301"/>
      <w:r>
        <w:t>Personalkostnader</w:t>
      </w:r>
      <w:bookmarkEnd w:id="11"/>
    </w:p>
    <w:p w14:paraId="40BA9CEC" w14:textId="77777777" w:rsidR="00795E60" w:rsidRDefault="00F56376">
      <w:pPr>
        <w:pStyle w:val="Rubrik3"/>
      </w:pPr>
      <w:r>
        <w:t>Personalkostnader</w:t>
      </w:r>
    </w:p>
    <w:tbl>
      <w:tblPr>
        <w:tblStyle w:val="Tabellrutnt"/>
        <w:tblOverlap w:val="never"/>
        <w:tblW w:w="0" w:type="auto"/>
        <w:tblLayout w:type="fixed"/>
        <w:tblLook w:val="04A0" w:firstRow="1" w:lastRow="0" w:firstColumn="1" w:lastColumn="0" w:noHBand="0" w:noVBand="1"/>
      </w:tblPr>
      <w:tblGrid>
        <w:gridCol w:w="3470"/>
        <w:gridCol w:w="1446"/>
        <w:gridCol w:w="1638"/>
        <w:gridCol w:w="1446"/>
        <w:gridCol w:w="1638"/>
      </w:tblGrid>
      <w:tr w:rsidR="00FC2AD8" w14:paraId="61598126" w14:textId="77777777">
        <w:trPr>
          <w:cantSplit w:val="0"/>
          <w:tblHeader/>
        </w:trPr>
        <w:tc>
          <w:tcPr>
            <w:tcW w:w="3470" w:type="dxa"/>
            <w:tcBorders>
              <w:top w:val="nil"/>
              <w:left w:val="nil"/>
              <w:bottom w:val="single" w:sz="4" w:space="0" w:color="auto"/>
              <w:right w:val="nil"/>
            </w:tcBorders>
            <w:shd w:val="clear" w:color="auto" w:fill="E1E9F2"/>
            <w:vAlign w:val="center"/>
          </w:tcPr>
          <w:p w14:paraId="5222DC61" w14:textId="77777777" w:rsidR="00795E60" w:rsidRDefault="00F56376">
            <w:pPr>
              <w:pStyle w:val="Tabellcell"/>
            </w:pPr>
            <w:r>
              <w:rPr>
                <w:b/>
              </w:rPr>
              <w:t>Lönekostnad</w:t>
            </w:r>
          </w:p>
        </w:tc>
        <w:tc>
          <w:tcPr>
            <w:tcW w:w="1446" w:type="dxa"/>
            <w:tcBorders>
              <w:top w:val="nil"/>
              <w:left w:val="nil"/>
              <w:bottom w:val="single" w:sz="4" w:space="0" w:color="auto"/>
              <w:right w:val="nil"/>
            </w:tcBorders>
            <w:shd w:val="clear" w:color="auto" w:fill="E1E9F2"/>
            <w:vAlign w:val="center"/>
          </w:tcPr>
          <w:p w14:paraId="1E6D5C7E" w14:textId="77777777" w:rsidR="00795E60" w:rsidRDefault="00F56376">
            <w:pPr>
              <w:pStyle w:val="Tabellcell"/>
              <w:jc w:val="right"/>
            </w:pPr>
            <w:r>
              <w:rPr>
                <w:b/>
              </w:rPr>
              <w:t>Utfall</w:t>
            </w:r>
          </w:p>
        </w:tc>
        <w:tc>
          <w:tcPr>
            <w:tcW w:w="1638" w:type="dxa"/>
            <w:tcBorders>
              <w:top w:val="nil"/>
              <w:left w:val="nil"/>
              <w:bottom w:val="single" w:sz="4" w:space="0" w:color="auto"/>
              <w:right w:val="nil"/>
            </w:tcBorders>
            <w:shd w:val="clear" w:color="auto" w:fill="E1E9F2"/>
            <w:vAlign w:val="center"/>
          </w:tcPr>
          <w:p w14:paraId="64820CC9" w14:textId="77777777" w:rsidR="00795E60" w:rsidRDefault="00F56376">
            <w:pPr>
              <w:pStyle w:val="Tabellcell"/>
              <w:jc w:val="right"/>
            </w:pPr>
            <w:r>
              <w:rPr>
                <w:b/>
              </w:rPr>
              <w:t>Utfall fg år</w:t>
            </w:r>
          </w:p>
        </w:tc>
        <w:tc>
          <w:tcPr>
            <w:tcW w:w="1446" w:type="dxa"/>
            <w:tcBorders>
              <w:top w:val="nil"/>
              <w:left w:val="nil"/>
              <w:bottom w:val="single" w:sz="4" w:space="0" w:color="auto"/>
              <w:right w:val="nil"/>
            </w:tcBorders>
            <w:shd w:val="clear" w:color="auto" w:fill="E1E9F2"/>
            <w:vAlign w:val="center"/>
          </w:tcPr>
          <w:p w14:paraId="6C317201" w14:textId="77777777" w:rsidR="00795E60" w:rsidRDefault="00F56376">
            <w:pPr>
              <w:pStyle w:val="Tabellcell"/>
              <w:jc w:val="right"/>
            </w:pPr>
            <w:r>
              <w:rPr>
                <w:b/>
              </w:rPr>
              <w:t>Ökningstakt (%)</w:t>
            </w:r>
          </w:p>
        </w:tc>
        <w:tc>
          <w:tcPr>
            <w:tcW w:w="1638" w:type="dxa"/>
            <w:tcBorders>
              <w:top w:val="nil"/>
              <w:left w:val="nil"/>
              <w:bottom w:val="single" w:sz="4" w:space="0" w:color="auto"/>
              <w:right w:val="nil"/>
            </w:tcBorders>
            <w:shd w:val="clear" w:color="auto" w:fill="E1E9F2"/>
            <w:vAlign w:val="center"/>
          </w:tcPr>
          <w:p w14:paraId="3FEF7B49" w14:textId="77777777" w:rsidR="00795E60" w:rsidRDefault="00F56376">
            <w:pPr>
              <w:pStyle w:val="Tabellcell"/>
              <w:jc w:val="right"/>
            </w:pPr>
            <w:r>
              <w:rPr>
                <w:b/>
              </w:rPr>
              <w:t>Ökningstakt (%) fg år</w:t>
            </w:r>
          </w:p>
        </w:tc>
      </w:tr>
      <w:tr w:rsidR="00FC2AD8" w14:paraId="3D64B24B" w14:textId="77777777">
        <w:trPr>
          <w:cantSplit w:val="0"/>
        </w:trPr>
        <w:tc>
          <w:tcPr>
            <w:tcW w:w="3470" w:type="dxa"/>
            <w:tcBorders>
              <w:top w:val="single" w:sz="4" w:space="0" w:color="auto"/>
              <w:left w:val="nil"/>
              <w:bottom w:val="nil"/>
              <w:right w:val="nil"/>
            </w:tcBorders>
            <w:shd w:val="clear" w:color="auto" w:fill="FFFFFF"/>
            <w:vAlign w:val="center"/>
          </w:tcPr>
          <w:p w14:paraId="41BC82A5" w14:textId="77777777" w:rsidR="00795E60" w:rsidRDefault="00F56376">
            <w:pPr>
              <w:pStyle w:val="Tabellcell"/>
            </w:pPr>
            <w:r>
              <w:t>Lönekostnad (40-41) (mnkr)</w:t>
            </w:r>
          </w:p>
        </w:tc>
        <w:tc>
          <w:tcPr>
            <w:tcW w:w="1446" w:type="dxa"/>
            <w:tcBorders>
              <w:top w:val="single" w:sz="4" w:space="0" w:color="auto"/>
              <w:left w:val="nil"/>
              <w:bottom w:val="nil"/>
              <w:right w:val="nil"/>
            </w:tcBorders>
            <w:shd w:val="clear" w:color="auto" w:fill="FFFFFF"/>
            <w:vAlign w:val="center"/>
          </w:tcPr>
          <w:p w14:paraId="77ECC6BC" w14:textId="77777777" w:rsidR="00795E60" w:rsidRDefault="00F56376">
            <w:pPr>
              <w:pStyle w:val="Tabellcell"/>
              <w:jc w:val="right"/>
            </w:pPr>
            <w:r>
              <w:t>-10.7</w:t>
            </w:r>
          </w:p>
        </w:tc>
        <w:tc>
          <w:tcPr>
            <w:tcW w:w="1638" w:type="dxa"/>
            <w:tcBorders>
              <w:top w:val="single" w:sz="4" w:space="0" w:color="auto"/>
              <w:left w:val="nil"/>
              <w:bottom w:val="nil"/>
              <w:right w:val="nil"/>
            </w:tcBorders>
            <w:shd w:val="clear" w:color="auto" w:fill="FFFFFF"/>
            <w:vAlign w:val="center"/>
          </w:tcPr>
          <w:p w14:paraId="51910F7C" w14:textId="77777777" w:rsidR="00795E60" w:rsidRDefault="00F56376">
            <w:pPr>
              <w:pStyle w:val="Tabellcell"/>
              <w:jc w:val="right"/>
            </w:pPr>
            <w:r>
              <w:t>-9.8</w:t>
            </w:r>
          </w:p>
        </w:tc>
        <w:tc>
          <w:tcPr>
            <w:tcW w:w="1446" w:type="dxa"/>
            <w:tcBorders>
              <w:top w:val="single" w:sz="4" w:space="0" w:color="auto"/>
              <w:left w:val="nil"/>
              <w:bottom w:val="nil"/>
              <w:right w:val="nil"/>
            </w:tcBorders>
            <w:shd w:val="clear" w:color="auto" w:fill="FFFFFF"/>
            <w:vAlign w:val="center"/>
          </w:tcPr>
          <w:p w14:paraId="450BE52F" w14:textId="77777777" w:rsidR="00795E60" w:rsidRDefault="00F56376">
            <w:pPr>
              <w:pStyle w:val="Tabellcell"/>
              <w:jc w:val="right"/>
            </w:pPr>
            <w:r>
              <w:t>9.5</w:t>
            </w:r>
          </w:p>
        </w:tc>
        <w:tc>
          <w:tcPr>
            <w:tcW w:w="1638" w:type="dxa"/>
            <w:tcBorders>
              <w:top w:val="single" w:sz="4" w:space="0" w:color="auto"/>
              <w:left w:val="nil"/>
              <w:bottom w:val="nil"/>
              <w:right w:val="nil"/>
            </w:tcBorders>
            <w:shd w:val="clear" w:color="auto" w:fill="FFFFFF"/>
            <w:vAlign w:val="center"/>
          </w:tcPr>
          <w:p w14:paraId="74640D72" w14:textId="77777777" w:rsidR="00795E60" w:rsidRDefault="00F56376">
            <w:pPr>
              <w:pStyle w:val="Tabellcell"/>
              <w:jc w:val="right"/>
            </w:pPr>
            <w:r>
              <w:t>-2.2</w:t>
            </w:r>
          </w:p>
        </w:tc>
      </w:tr>
    </w:tbl>
    <w:p w14:paraId="5B18C607" w14:textId="77777777" w:rsidR="00795E60" w:rsidRDefault="00F56376">
      <w:pPr>
        <w:pStyle w:val="BodyText"/>
        <w:widowControl w:val="0"/>
        <w:spacing w:before="160"/>
      </w:pPr>
      <w:r>
        <w:t xml:space="preserve">Personalkostnadsökningstakten blev något högre än </w:t>
      </w:r>
      <w:r>
        <w:t>förväntat till följd av projektanställning som täcks av högre projektintäkter.</w:t>
      </w:r>
    </w:p>
    <w:p w14:paraId="6071F220" w14:textId="77777777" w:rsidR="00795E60" w:rsidRDefault="00F56376">
      <w:pPr>
        <w:pStyle w:val="BodyText"/>
        <w:widowControl w:val="0"/>
      </w:pPr>
      <w:r>
        <w:t> </w:t>
      </w:r>
    </w:p>
    <w:p w14:paraId="0E62B1EF" w14:textId="77777777" w:rsidR="00795E60" w:rsidRDefault="00F56376">
      <w:pPr>
        <w:pStyle w:val="BodyText"/>
        <w:widowControl w:val="0"/>
      </w:pPr>
      <w:r>
        <w:t> </w:t>
      </w:r>
    </w:p>
    <w:p w14:paraId="7B50DE69" w14:textId="77777777" w:rsidR="00795E60" w:rsidRDefault="00F56376">
      <w:pPr>
        <w:pStyle w:val="Rubrik2"/>
      </w:pPr>
      <w:bookmarkStart w:id="12" w:name="_Toc220678302"/>
      <w:r>
        <w:t>Kostnadsanalys</w:t>
      </w:r>
      <w:bookmarkEnd w:id="12"/>
    </w:p>
    <w:p w14:paraId="68715203" w14:textId="77777777" w:rsidR="00795E60" w:rsidRDefault="00F56376">
      <w:pPr>
        <w:pStyle w:val="Rubrik3"/>
      </w:pPr>
      <w:r>
        <w:t>Kostnadsanalys</w:t>
      </w:r>
    </w:p>
    <w:tbl>
      <w:tblPr>
        <w:tblStyle w:val="Tabellrutnt"/>
        <w:tblOverlap w:val="never"/>
        <w:tblW w:w="0" w:type="auto"/>
        <w:tblLayout w:type="fixed"/>
        <w:tblLook w:val="04A0" w:firstRow="1" w:lastRow="0" w:firstColumn="1" w:lastColumn="0" w:noHBand="0" w:noVBand="1"/>
      </w:tblPr>
      <w:tblGrid>
        <w:gridCol w:w="4433"/>
        <w:gridCol w:w="1060"/>
        <w:gridCol w:w="1253"/>
        <w:gridCol w:w="1349"/>
        <w:gridCol w:w="1542"/>
      </w:tblGrid>
      <w:tr w:rsidR="00FC2AD8" w14:paraId="7BC5942B" w14:textId="77777777">
        <w:trPr>
          <w:cantSplit w:val="0"/>
          <w:tblHeader/>
        </w:trPr>
        <w:tc>
          <w:tcPr>
            <w:tcW w:w="4433" w:type="dxa"/>
            <w:tcBorders>
              <w:top w:val="nil"/>
              <w:left w:val="nil"/>
              <w:bottom w:val="single" w:sz="4" w:space="0" w:color="auto"/>
              <w:right w:val="nil"/>
            </w:tcBorders>
            <w:shd w:val="clear" w:color="auto" w:fill="E1E9F2"/>
            <w:vAlign w:val="center"/>
          </w:tcPr>
          <w:p w14:paraId="5E641E45" w14:textId="77777777" w:rsidR="00795E60" w:rsidRDefault="00F56376">
            <w:pPr>
              <w:pStyle w:val="Tabellcell"/>
            </w:pPr>
            <w:r>
              <w:rPr>
                <w:b/>
              </w:rPr>
              <w:t>Kategori</w:t>
            </w:r>
          </w:p>
        </w:tc>
        <w:tc>
          <w:tcPr>
            <w:tcW w:w="1060" w:type="dxa"/>
            <w:tcBorders>
              <w:top w:val="nil"/>
              <w:left w:val="nil"/>
              <w:bottom w:val="single" w:sz="4" w:space="0" w:color="auto"/>
              <w:right w:val="nil"/>
            </w:tcBorders>
            <w:shd w:val="clear" w:color="auto" w:fill="E1E9F2"/>
            <w:vAlign w:val="center"/>
          </w:tcPr>
          <w:p w14:paraId="41EA2D76" w14:textId="77777777" w:rsidR="00795E60" w:rsidRDefault="00F56376">
            <w:pPr>
              <w:pStyle w:val="Tabellcell"/>
              <w:jc w:val="right"/>
            </w:pPr>
            <w:r>
              <w:rPr>
                <w:b/>
              </w:rPr>
              <w:t>Utfall</w:t>
            </w:r>
          </w:p>
        </w:tc>
        <w:tc>
          <w:tcPr>
            <w:tcW w:w="1253" w:type="dxa"/>
            <w:tcBorders>
              <w:top w:val="nil"/>
              <w:left w:val="nil"/>
              <w:bottom w:val="single" w:sz="4" w:space="0" w:color="auto"/>
              <w:right w:val="nil"/>
            </w:tcBorders>
            <w:shd w:val="clear" w:color="auto" w:fill="E1E9F2"/>
            <w:vAlign w:val="center"/>
          </w:tcPr>
          <w:p w14:paraId="4FDECD06" w14:textId="77777777" w:rsidR="00795E60" w:rsidRDefault="00F56376">
            <w:pPr>
              <w:pStyle w:val="Tabellcell"/>
              <w:jc w:val="right"/>
            </w:pPr>
            <w:r>
              <w:rPr>
                <w:b/>
              </w:rPr>
              <w:t>Utfall fg år</w:t>
            </w:r>
          </w:p>
        </w:tc>
        <w:tc>
          <w:tcPr>
            <w:tcW w:w="1349" w:type="dxa"/>
            <w:tcBorders>
              <w:top w:val="nil"/>
              <w:left w:val="nil"/>
              <w:bottom w:val="single" w:sz="4" w:space="0" w:color="auto"/>
              <w:right w:val="nil"/>
            </w:tcBorders>
            <w:shd w:val="clear" w:color="auto" w:fill="E1E9F2"/>
            <w:vAlign w:val="center"/>
          </w:tcPr>
          <w:p w14:paraId="316C521F" w14:textId="77777777" w:rsidR="00795E60" w:rsidRDefault="00F56376">
            <w:pPr>
              <w:pStyle w:val="Tabellcell"/>
              <w:jc w:val="right"/>
            </w:pPr>
            <w:r>
              <w:rPr>
                <w:b/>
              </w:rPr>
              <w:t>Förändring, mnkr</w:t>
            </w:r>
          </w:p>
        </w:tc>
        <w:tc>
          <w:tcPr>
            <w:tcW w:w="1542" w:type="dxa"/>
            <w:tcBorders>
              <w:top w:val="nil"/>
              <w:left w:val="nil"/>
              <w:bottom w:val="single" w:sz="4" w:space="0" w:color="auto"/>
              <w:right w:val="nil"/>
            </w:tcBorders>
            <w:shd w:val="clear" w:color="auto" w:fill="E1E9F2"/>
            <w:vAlign w:val="center"/>
          </w:tcPr>
          <w:p w14:paraId="23973B2B" w14:textId="77777777" w:rsidR="00795E60" w:rsidRDefault="00F56376">
            <w:pPr>
              <w:pStyle w:val="Tabellcell"/>
              <w:jc w:val="right"/>
            </w:pPr>
            <w:r>
              <w:rPr>
                <w:b/>
              </w:rPr>
              <w:t>Förändring %</w:t>
            </w:r>
          </w:p>
        </w:tc>
      </w:tr>
      <w:tr w:rsidR="00FC2AD8" w14:paraId="29256636" w14:textId="77777777">
        <w:trPr>
          <w:cantSplit w:val="0"/>
        </w:trPr>
        <w:tc>
          <w:tcPr>
            <w:tcW w:w="4433" w:type="dxa"/>
            <w:tcBorders>
              <w:top w:val="single" w:sz="4" w:space="0" w:color="auto"/>
              <w:left w:val="nil"/>
              <w:bottom w:val="nil"/>
              <w:right w:val="nil"/>
            </w:tcBorders>
            <w:shd w:val="clear" w:color="auto" w:fill="FFFFFF"/>
            <w:vAlign w:val="center"/>
          </w:tcPr>
          <w:p w14:paraId="65D2349F" w14:textId="77777777" w:rsidR="00795E60" w:rsidRDefault="00F56376">
            <w:pPr>
              <w:pStyle w:val="Tabellcell"/>
            </w:pPr>
            <w:r>
              <w:t>Månadslöner</w:t>
            </w:r>
          </w:p>
        </w:tc>
        <w:tc>
          <w:tcPr>
            <w:tcW w:w="1060" w:type="dxa"/>
            <w:tcBorders>
              <w:top w:val="single" w:sz="4" w:space="0" w:color="auto"/>
              <w:left w:val="nil"/>
              <w:bottom w:val="nil"/>
              <w:right w:val="nil"/>
            </w:tcBorders>
            <w:shd w:val="clear" w:color="auto" w:fill="FFFFFF"/>
            <w:vAlign w:val="center"/>
          </w:tcPr>
          <w:p w14:paraId="4C39B378" w14:textId="77777777" w:rsidR="00795E60" w:rsidRDefault="00F56376">
            <w:pPr>
              <w:pStyle w:val="Tabellcell"/>
              <w:jc w:val="right"/>
            </w:pPr>
            <w:r>
              <w:t>-8.5</w:t>
            </w:r>
          </w:p>
        </w:tc>
        <w:tc>
          <w:tcPr>
            <w:tcW w:w="1253" w:type="dxa"/>
            <w:tcBorders>
              <w:top w:val="single" w:sz="4" w:space="0" w:color="auto"/>
              <w:left w:val="nil"/>
              <w:bottom w:val="nil"/>
              <w:right w:val="nil"/>
            </w:tcBorders>
            <w:shd w:val="clear" w:color="auto" w:fill="FFFFFF"/>
            <w:vAlign w:val="center"/>
          </w:tcPr>
          <w:p w14:paraId="5CA6D829" w14:textId="77777777" w:rsidR="00795E60" w:rsidRDefault="00F56376">
            <w:pPr>
              <w:pStyle w:val="Tabellcell"/>
              <w:jc w:val="right"/>
            </w:pPr>
            <w:r>
              <w:t>-7.7</w:t>
            </w:r>
          </w:p>
        </w:tc>
        <w:tc>
          <w:tcPr>
            <w:tcW w:w="1349" w:type="dxa"/>
            <w:tcBorders>
              <w:top w:val="single" w:sz="4" w:space="0" w:color="auto"/>
              <w:left w:val="nil"/>
              <w:bottom w:val="nil"/>
              <w:right w:val="nil"/>
            </w:tcBorders>
            <w:shd w:val="clear" w:color="auto" w:fill="FFFFFF"/>
            <w:vAlign w:val="center"/>
          </w:tcPr>
          <w:p w14:paraId="07BF875F" w14:textId="77777777" w:rsidR="00795E60" w:rsidRDefault="00F56376">
            <w:pPr>
              <w:pStyle w:val="Tabellcell"/>
              <w:jc w:val="right"/>
            </w:pPr>
            <w:r>
              <w:t>-0.9</w:t>
            </w:r>
          </w:p>
        </w:tc>
        <w:tc>
          <w:tcPr>
            <w:tcW w:w="1542" w:type="dxa"/>
            <w:tcBorders>
              <w:top w:val="single" w:sz="4" w:space="0" w:color="auto"/>
              <w:left w:val="nil"/>
              <w:bottom w:val="nil"/>
              <w:right w:val="nil"/>
            </w:tcBorders>
            <w:shd w:val="clear" w:color="auto" w:fill="FFFFFF"/>
            <w:vAlign w:val="center"/>
          </w:tcPr>
          <w:p w14:paraId="59B8FF42" w14:textId="77777777" w:rsidR="00795E60" w:rsidRDefault="00F56376">
            <w:pPr>
              <w:pStyle w:val="Tabellcell"/>
              <w:jc w:val="right"/>
            </w:pPr>
            <w:r>
              <w:t>11.7</w:t>
            </w:r>
          </w:p>
        </w:tc>
      </w:tr>
      <w:tr w:rsidR="00FC2AD8" w14:paraId="058E57C8" w14:textId="77777777">
        <w:trPr>
          <w:cantSplit w:val="0"/>
        </w:trPr>
        <w:tc>
          <w:tcPr>
            <w:tcW w:w="4433" w:type="dxa"/>
            <w:tcBorders>
              <w:top w:val="nil"/>
              <w:left w:val="nil"/>
              <w:bottom w:val="nil"/>
              <w:right w:val="nil"/>
            </w:tcBorders>
            <w:shd w:val="clear" w:color="auto" w:fill="FFFFFF"/>
            <w:vAlign w:val="center"/>
          </w:tcPr>
          <w:p w14:paraId="1ACEFA4A" w14:textId="77777777" w:rsidR="00795E60" w:rsidRDefault="00F56376">
            <w:pPr>
              <w:pStyle w:val="Tabellcell"/>
            </w:pPr>
            <w:r>
              <w:t>Obekväm arbetstid</w:t>
            </w:r>
          </w:p>
        </w:tc>
        <w:tc>
          <w:tcPr>
            <w:tcW w:w="1060" w:type="dxa"/>
            <w:tcBorders>
              <w:top w:val="nil"/>
              <w:left w:val="nil"/>
              <w:bottom w:val="nil"/>
              <w:right w:val="nil"/>
            </w:tcBorders>
            <w:shd w:val="clear" w:color="auto" w:fill="FFFFFF"/>
            <w:vAlign w:val="center"/>
          </w:tcPr>
          <w:p w14:paraId="1164A61A" w14:textId="77777777" w:rsidR="00795E60" w:rsidRDefault="00F56376">
            <w:pPr>
              <w:pStyle w:val="Tabellcell"/>
              <w:jc w:val="right"/>
            </w:pPr>
            <w:r>
              <w:t>0.0</w:t>
            </w:r>
          </w:p>
        </w:tc>
        <w:tc>
          <w:tcPr>
            <w:tcW w:w="1253" w:type="dxa"/>
            <w:tcBorders>
              <w:top w:val="nil"/>
              <w:left w:val="nil"/>
              <w:bottom w:val="nil"/>
              <w:right w:val="nil"/>
            </w:tcBorders>
            <w:shd w:val="clear" w:color="auto" w:fill="FFFFFF"/>
            <w:vAlign w:val="center"/>
          </w:tcPr>
          <w:p w14:paraId="5D44F648" w14:textId="77777777" w:rsidR="00795E60" w:rsidRDefault="00F56376">
            <w:pPr>
              <w:pStyle w:val="Tabellcell"/>
              <w:jc w:val="right"/>
            </w:pPr>
            <w:r>
              <w:t>0.0</w:t>
            </w:r>
          </w:p>
        </w:tc>
        <w:tc>
          <w:tcPr>
            <w:tcW w:w="1349" w:type="dxa"/>
            <w:tcBorders>
              <w:top w:val="nil"/>
              <w:left w:val="nil"/>
              <w:bottom w:val="nil"/>
              <w:right w:val="nil"/>
            </w:tcBorders>
            <w:shd w:val="clear" w:color="auto" w:fill="FFFFFF"/>
            <w:vAlign w:val="center"/>
          </w:tcPr>
          <w:p w14:paraId="39A902E5" w14:textId="77777777" w:rsidR="00795E60" w:rsidRDefault="00F56376">
            <w:pPr>
              <w:pStyle w:val="Tabellcell"/>
              <w:jc w:val="right"/>
            </w:pPr>
            <w:r>
              <w:t>0.0</w:t>
            </w:r>
          </w:p>
        </w:tc>
        <w:tc>
          <w:tcPr>
            <w:tcW w:w="1542" w:type="dxa"/>
            <w:tcBorders>
              <w:top w:val="nil"/>
              <w:left w:val="nil"/>
              <w:bottom w:val="nil"/>
              <w:right w:val="nil"/>
            </w:tcBorders>
            <w:shd w:val="clear" w:color="auto" w:fill="FFFFFF"/>
            <w:vAlign w:val="center"/>
          </w:tcPr>
          <w:p w14:paraId="23E0E3C2" w14:textId="77777777" w:rsidR="00795E60" w:rsidRDefault="00F56376">
            <w:pPr>
              <w:pStyle w:val="Tabellcell"/>
              <w:jc w:val="right"/>
            </w:pPr>
            <w:r>
              <w:t>147.3</w:t>
            </w:r>
          </w:p>
        </w:tc>
      </w:tr>
      <w:tr w:rsidR="00FC2AD8" w14:paraId="0205F360" w14:textId="77777777">
        <w:trPr>
          <w:cantSplit w:val="0"/>
        </w:trPr>
        <w:tc>
          <w:tcPr>
            <w:tcW w:w="4433" w:type="dxa"/>
            <w:tcBorders>
              <w:top w:val="nil"/>
              <w:left w:val="nil"/>
              <w:bottom w:val="nil"/>
              <w:right w:val="nil"/>
            </w:tcBorders>
            <w:shd w:val="clear" w:color="auto" w:fill="FFFFFF"/>
            <w:vAlign w:val="center"/>
          </w:tcPr>
          <w:p w14:paraId="40CA4004" w14:textId="77777777" w:rsidR="00795E60" w:rsidRDefault="00F56376">
            <w:pPr>
              <w:pStyle w:val="Tabellcell"/>
            </w:pPr>
            <w:r>
              <w:t>Semesterkostnad inkl. skuldförändring</w:t>
            </w:r>
          </w:p>
        </w:tc>
        <w:tc>
          <w:tcPr>
            <w:tcW w:w="1060" w:type="dxa"/>
            <w:tcBorders>
              <w:top w:val="nil"/>
              <w:left w:val="nil"/>
              <w:bottom w:val="nil"/>
              <w:right w:val="nil"/>
            </w:tcBorders>
            <w:shd w:val="clear" w:color="auto" w:fill="FFFFFF"/>
            <w:vAlign w:val="center"/>
          </w:tcPr>
          <w:p w14:paraId="2A06A150" w14:textId="77777777" w:rsidR="00795E60" w:rsidRDefault="00F56376">
            <w:pPr>
              <w:pStyle w:val="Tabellcell"/>
              <w:jc w:val="right"/>
            </w:pPr>
            <w:r>
              <w:t>-1.4</w:t>
            </w:r>
          </w:p>
        </w:tc>
        <w:tc>
          <w:tcPr>
            <w:tcW w:w="1253" w:type="dxa"/>
            <w:tcBorders>
              <w:top w:val="nil"/>
              <w:left w:val="nil"/>
              <w:bottom w:val="nil"/>
              <w:right w:val="nil"/>
            </w:tcBorders>
            <w:shd w:val="clear" w:color="auto" w:fill="FFFFFF"/>
            <w:vAlign w:val="center"/>
          </w:tcPr>
          <w:p w14:paraId="5B6734F4" w14:textId="77777777" w:rsidR="00795E60" w:rsidRDefault="00F56376">
            <w:pPr>
              <w:pStyle w:val="Tabellcell"/>
              <w:jc w:val="right"/>
            </w:pPr>
            <w:r>
              <w:t>-1.3</w:t>
            </w:r>
          </w:p>
        </w:tc>
        <w:tc>
          <w:tcPr>
            <w:tcW w:w="1349" w:type="dxa"/>
            <w:tcBorders>
              <w:top w:val="nil"/>
              <w:left w:val="nil"/>
              <w:bottom w:val="nil"/>
              <w:right w:val="nil"/>
            </w:tcBorders>
            <w:shd w:val="clear" w:color="auto" w:fill="FFFFFF"/>
            <w:vAlign w:val="center"/>
          </w:tcPr>
          <w:p w14:paraId="21676C01" w14:textId="77777777" w:rsidR="00795E60" w:rsidRDefault="00F56376">
            <w:pPr>
              <w:pStyle w:val="Tabellcell"/>
              <w:jc w:val="right"/>
            </w:pPr>
            <w:r>
              <w:t>-0.1</w:t>
            </w:r>
          </w:p>
        </w:tc>
        <w:tc>
          <w:tcPr>
            <w:tcW w:w="1542" w:type="dxa"/>
            <w:tcBorders>
              <w:top w:val="nil"/>
              <w:left w:val="nil"/>
              <w:bottom w:val="nil"/>
              <w:right w:val="nil"/>
            </w:tcBorders>
            <w:shd w:val="clear" w:color="auto" w:fill="FFFFFF"/>
            <w:vAlign w:val="center"/>
          </w:tcPr>
          <w:p w14:paraId="17A72367" w14:textId="77777777" w:rsidR="00795E60" w:rsidRDefault="00F56376">
            <w:pPr>
              <w:pStyle w:val="Tabellcell"/>
              <w:jc w:val="right"/>
            </w:pPr>
            <w:r>
              <w:t>7.9</w:t>
            </w:r>
          </w:p>
        </w:tc>
      </w:tr>
      <w:tr w:rsidR="00FC2AD8" w14:paraId="3B7BC260" w14:textId="77777777">
        <w:trPr>
          <w:cantSplit w:val="0"/>
        </w:trPr>
        <w:tc>
          <w:tcPr>
            <w:tcW w:w="4433" w:type="dxa"/>
            <w:tcBorders>
              <w:top w:val="nil"/>
              <w:left w:val="nil"/>
              <w:bottom w:val="nil"/>
              <w:right w:val="nil"/>
            </w:tcBorders>
            <w:shd w:val="clear" w:color="auto" w:fill="FFFFFF"/>
            <w:vAlign w:val="center"/>
          </w:tcPr>
          <w:p w14:paraId="39564BE5" w14:textId="77777777" w:rsidR="00795E60" w:rsidRDefault="00F56376">
            <w:pPr>
              <w:pStyle w:val="Tabellcell"/>
            </w:pPr>
            <w:r>
              <w:t>Sjuklön</w:t>
            </w:r>
          </w:p>
        </w:tc>
        <w:tc>
          <w:tcPr>
            <w:tcW w:w="1060" w:type="dxa"/>
            <w:tcBorders>
              <w:top w:val="nil"/>
              <w:left w:val="nil"/>
              <w:bottom w:val="nil"/>
              <w:right w:val="nil"/>
            </w:tcBorders>
            <w:shd w:val="clear" w:color="auto" w:fill="FFFFFF"/>
            <w:vAlign w:val="center"/>
          </w:tcPr>
          <w:p w14:paraId="3EAA5581" w14:textId="77777777" w:rsidR="00795E60" w:rsidRDefault="00F56376">
            <w:pPr>
              <w:pStyle w:val="Tabellcell"/>
              <w:jc w:val="right"/>
            </w:pPr>
            <w:r>
              <w:t>0.0</w:t>
            </w:r>
          </w:p>
        </w:tc>
        <w:tc>
          <w:tcPr>
            <w:tcW w:w="1253" w:type="dxa"/>
            <w:tcBorders>
              <w:top w:val="nil"/>
              <w:left w:val="nil"/>
              <w:bottom w:val="nil"/>
              <w:right w:val="nil"/>
            </w:tcBorders>
            <w:shd w:val="clear" w:color="auto" w:fill="FFFFFF"/>
            <w:vAlign w:val="center"/>
          </w:tcPr>
          <w:p w14:paraId="279F0105" w14:textId="77777777" w:rsidR="00795E60" w:rsidRDefault="00F56376">
            <w:pPr>
              <w:pStyle w:val="Tabellcell"/>
              <w:jc w:val="right"/>
            </w:pPr>
            <w:r>
              <w:t>0.0</w:t>
            </w:r>
          </w:p>
        </w:tc>
        <w:tc>
          <w:tcPr>
            <w:tcW w:w="1349" w:type="dxa"/>
            <w:tcBorders>
              <w:top w:val="nil"/>
              <w:left w:val="nil"/>
              <w:bottom w:val="nil"/>
              <w:right w:val="nil"/>
            </w:tcBorders>
            <w:shd w:val="clear" w:color="auto" w:fill="FFFFFF"/>
            <w:vAlign w:val="center"/>
          </w:tcPr>
          <w:p w14:paraId="19F6D76A" w14:textId="77777777" w:rsidR="00795E60" w:rsidRDefault="00F56376">
            <w:pPr>
              <w:pStyle w:val="Tabellcell"/>
              <w:jc w:val="right"/>
            </w:pPr>
            <w:r>
              <w:t>0.0</w:t>
            </w:r>
          </w:p>
        </w:tc>
        <w:tc>
          <w:tcPr>
            <w:tcW w:w="1542" w:type="dxa"/>
            <w:tcBorders>
              <w:top w:val="nil"/>
              <w:left w:val="nil"/>
              <w:bottom w:val="nil"/>
              <w:right w:val="nil"/>
            </w:tcBorders>
            <w:shd w:val="clear" w:color="auto" w:fill="FFFFFF"/>
            <w:vAlign w:val="center"/>
          </w:tcPr>
          <w:p w14:paraId="2DB2B2A2" w14:textId="77777777" w:rsidR="00795E60" w:rsidRDefault="00F56376">
            <w:pPr>
              <w:pStyle w:val="Tabellcell"/>
              <w:jc w:val="right"/>
            </w:pPr>
            <w:r>
              <w:t>-10.3</w:t>
            </w:r>
          </w:p>
        </w:tc>
      </w:tr>
      <w:tr w:rsidR="00FC2AD8" w14:paraId="0B8F5264" w14:textId="77777777">
        <w:trPr>
          <w:cantSplit w:val="0"/>
        </w:trPr>
        <w:tc>
          <w:tcPr>
            <w:tcW w:w="4433" w:type="dxa"/>
            <w:tcBorders>
              <w:top w:val="nil"/>
              <w:left w:val="nil"/>
              <w:bottom w:val="nil"/>
              <w:right w:val="nil"/>
            </w:tcBorders>
            <w:shd w:val="clear" w:color="auto" w:fill="FFFFFF"/>
            <w:vAlign w:val="center"/>
          </w:tcPr>
          <w:p w14:paraId="15DCA855" w14:textId="77777777" w:rsidR="00795E60" w:rsidRDefault="00F56376">
            <w:pPr>
              <w:pStyle w:val="Tabellcell"/>
            </w:pPr>
            <w:r>
              <w:t>Övrigt konto 40xx-41xx</w:t>
            </w:r>
          </w:p>
        </w:tc>
        <w:tc>
          <w:tcPr>
            <w:tcW w:w="1060" w:type="dxa"/>
            <w:tcBorders>
              <w:top w:val="nil"/>
              <w:left w:val="nil"/>
              <w:bottom w:val="nil"/>
              <w:right w:val="nil"/>
            </w:tcBorders>
            <w:shd w:val="clear" w:color="auto" w:fill="FFFFFF"/>
            <w:vAlign w:val="center"/>
          </w:tcPr>
          <w:p w14:paraId="4D3274FB" w14:textId="77777777" w:rsidR="00795E60" w:rsidRDefault="00F56376">
            <w:pPr>
              <w:pStyle w:val="Tabellcell"/>
              <w:jc w:val="right"/>
            </w:pPr>
            <w:r>
              <w:t>-0.7</w:t>
            </w:r>
          </w:p>
        </w:tc>
        <w:tc>
          <w:tcPr>
            <w:tcW w:w="1253" w:type="dxa"/>
            <w:tcBorders>
              <w:top w:val="nil"/>
              <w:left w:val="nil"/>
              <w:bottom w:val="nil"/>
              <w:right w:val="nil"/>
            </w:tcBorders>
            <w:shd w:val="clear" w:color="auto" w:fill="FFFFFF"/>
            <w:vAlign w:val="center"/>
          </w:tcPr>
          <w:p w14:paraId="23BEB28D" w14:textId="77777777" w:rsidR="00795E60" w:rsidRDefault="00F56376">
            <w:pPr>
              <w:pStyle w:val="Tabellcell"/>
              <w:jc w:val="right"/>
            </w:pPr>
            <w:r>
              <w:t>-0.7</w:t>
            </w:r>
          </w:p>
        </w:tc>
        <w:tc>
          <w:tcPr>
            <w:tcW w:w="1349" w:type="dxa"/>
            <w:tcBorders>
              <w:top w:val="nil"/>
              <w:left w:val="nil"/>
              <w:bottom w:val="nil"/>
              <w:right w:val="nil"/>
            </w:tcBorders>
            <w:shd w:val="clear" w:color="auto" w:fill="FFFFFF"/>
            <w:vAlign w:val="center"/>
          </w:tcPr>
          <w:p w14:paraId="65D49E3E" w14:textId="77777777" w:rsidR="00795E60" w:rsidRDefault="00F56376">
            <w:pPr>
              <w:pStyle w:val="Tabellcell"/>
              <w:jc w:val="right"/>
            </w:pPr>
            <w:r>
              <w:t>0.1</w:t>
            </w:r>
          </w:p>
        </w:tc>
        <w:tc>
          <w:tcPr>
            <w:tcW w:w="1542" w:type="dxa"/>
            <w:tcBorders>
              <w:top w:val="nil"/>
              <w:left w:val="nil"/>
              <w:bottom w:val="nil"/>
              <w:right w:val="nil"/>
            </w:tcBorders>
            <w:shd w:val="clear" w:color="auto" w:fill="FFFFFF"/>
            <w:vAlign w:val="center"/>
          </w:tcPr>
          <w:p w14:paraId="28C79441" w14:textId="77777777" w:rsidR="00795E60" w:rsidRDefault="00F56376">
            <w:pPr>
              <w:pStyle w:val="Tabellcell"/>
              <w:jc w:val="right"/>
            </w:pPr>
            <w:r>
              <w:t>-9.4</w:t>
            </w:r>
          </w:p>
        </w:tc>
      </w:tr>
      <w:tr w:rsidR="00FC2AD8" w14:paraId="0D9663E3" w14:textId="77777777">
        <w:trPr>
          <w:cantSplit w:val="0"/>
        </w:trPr>
        <w:tc>
          <w:tcPr>
            <w:tcW w:w="4433" w:type="dxa"/>
            <w:tcBorders>
              <w:top w:val="nil"/>
              <w:left w:val="nil"/>
              <w:bottom w:val="nil"/>
              <w:right w:val="nil"/>
            </w:tcBorders>
            <w:shd w:val="clear" w:color="auto" w:fill="FFFFFF"/>
            <w:vAlign w:val="center"/>
          </w:tcPr>
          <w:p w14:paraId="14587277" w14:textId="77777777" w:rsidR="00795E60" w:rsidRDefault="00F56376">
            <w:pPr>
              <w:pStyle w:val="Tabellcell"/>
            </w:pPr>
            <w:r>
              <w:rPr>
                <w:b/>
              </w:rPr>
              <w:t>Totalt kontoklass 40-41</w:t>
            </w:r>
          </w:p>
        </w:tc>
        <w:tc>
          <w:tcPr>
            <w:tcW w:w="1060" w:type="dxa"/>
            <w:tcBorders>
              <w:top w:val="nil"/>
              <w:left w:val="nil"/>
              <w:bottom w:val="nil"/>
              <w:right w:val="nil"/>
            </w:tcBorders>
            <w:shd w:val="clear" w:color="auto" w:fill="FFFFFF"/>
            <w:vAlign w:val="center"/>
          </w:tcPr>
          <w:p w14:paraId="202BF22F" w14:textId="77777777" w:rsidR="00795E60" w:rsidRDefault="00F56376">
            <w:pPr>
              <w:pStyle w:val="Tabellcell"/>
              <w:jc w:val="right"/>
            </w:pPr>
            <w:r>
              <w:rPr>
                <w:b/>
              </w:rPr>
              <w:t>-10.7</w:t>
            </w:r>
          </w:p>
        </w:tc>
        <w:tc>
          <w:tcPr>
            <w:tcW w:w="1253" w:type="dxa"/>
            <w:tcBorders>
              <w:top w:val="nil"/>
              <w:left w:val="nil"/>
              <w:bottom w:val="nil"/>
              <w:right w:val="nil"/>
            </w:tcBorders>
            <w:shd w:val="clear" w:color="auto" w:fill="FFFFFF"/>
            <w:vAlign w:val="center"/>
          </w:tcPr>
          <w:p w14:paraId="50F6BC55" w14:textId="77777777" w:rsidR="00795E60" w:rsidRDefault="00F56376">
            <w:pPr>
              <w:pStyle w:val="Tabellcell"/>
              <w:jc w:val="right"/>
            </w:pPr>
            <w:r>
              <w:rPr>
                <w:b/>
              </w:rPr>
              <w:t>-9.8</w:t>
            </w:r>
          </w:p>
        </w:tc>
        <w:tc>
          <w:tcPr>
            <w:tcW w:w="1349" w:type="dxa"/>
            <w:tcBorders>
              <w:top w:val="nil"/>
              <w:left w:val="nil"/>
              <w:bottom w:val="nil"/>
              <w:right w:val="nil"/>
            </w:tcBorders>
            <w:shd w:val="clear" w:color="auto" w:fill="FFFFFF"/>
            <w:vAlign w:val="center"/>
          </w:tcPr>
          <w:p w14:paraId="24A3D8C1" w14:textId="77777777" w:rsidR="00795E60" w:rsidRDefault="00F56376">
            <w:pPr>
              <w:pStyle w:val="Tabellcell"/>
              <w:jc w:val="right"/>
            </w:pPr>
            <w:r>
              <w:rPr>
                <w:b/>
              </w:rPr>
              <w:t>-0.9</w:t>
            </w:r>
          </w:p>
        </w:tc>
        <w:tc>
          <w:tcPr>
            <w:tcW w:w="1542" w:type="dxa"/>
            <w:tcBorders>
              <w:top w:val="nil"/>
              <w:left w:val="nil"/>
              <w:bottom w:val="nil"/>
              <w:right w:val="nil"/>
            </w:tcBorders>
            <w:shd w:val="clear" w:color="auto" w:fill="FFFFFF"/>
            <w:vAlign w:val="center"/>
          </w:tcPr>
          <w:p w14:paraId="3CBF2FB7" w14:textId="77777777" w:rsidR="00795E60" w:rsidRDefault="00F56376">
            <w:pPr>
              <w:pStyle w:val="Tabellcell"/>
              <w:jc w:val="right"/>
            </w:pPr>
            <w:r>
              <w:rPr>
                <w:b/>
              </w:rPr>
              <w:t>9.5</w:t>
            </w:r>
          </w:p>
        </w:tc>
      </w:tr>
    </w:tbl>
    <w:p w14:paraId="5D82BE39" w14:textId="77777777" w:rsidR="00795E60" w:rsidRDefault="00F56376">
      <w:pPr>
        <w:pStyle w:val="Rubrik2"/>
      </w:pPr>
      <w:bookmarkStart w:id="13" w:name="_Toc220678303"/>
      <w:r>
        <w:lastRenderedPageBreak/>
        <w:t>Årsarbetare tillsvidareanställda avtalad sysselsättningsgrad</w:t>
      </w:r>
      <w:bookmarkEnd w:id="13"/>
    </w:p>
    <w:tbl>
      <w:tblPr>
        <w:tblStyle w:val="Tabellrutnt"/>
        <w:tblOverlap w:val="never"/>
        <w:tblW w:w="0" w:type="auto"/>
        <w:tblLayout w:type="fixed"/>
        <w:tblLook w:val="04A0" w:firstRow="1" w:lastRow="0" w:firstColumn="1" w:lastColumn="0" w:noHBand="0" w:noVBand="1"/>
      </w:tblPr>
      <w:tblGrid>
        <w:gridCol w:w="1984"/>
        <w:gridCol w:w="850"/>
        <w:gridCol w:w="850"/>
        <w:gridCol w:w="850"/>
        <w:gridCol w:w="850"/>
        <w:gridCol w:w="850"/>
        <w:gridCol w:w="850"/>
        <w:gridCol w:w="850"/>
        <w:gridCol w:w="850"/>
        <w:gridCol w:w="850"/>
      </w:tblGrid>
      <w:tr w:rsidR="00FC2AD8" w14:paraId="2062A0ED" w14:textId="77777777">
        <w:trPr>
          <w:cantSplit w:val="0"/>
          <w:tblHeader/>
        </w:trPr>
        <w:tc>
          <w:tcPr>
            <w:tcW w:w="1984" w:type="dxa"/>
            <w:tcBorders>
              <w:top w:val="single" w:sz="4" w:space="0" w:color="auto"/>
              <w:left w:val="nil"/>
              <w:bottom w:val="single" w:sz="4" w:space="0" w:color="auto"/>
              <w:right w:val="single" w:sz="4" w:space="0" w:color="auto"/>
            </w:tcBorders>
            <w:shd w:val="clear" w:color="auto" w:fill="E1E9F2"/>
            <w:vAlign w:val="center"/>
          </w:tcPr>
          <w:p w14:paraId="7BC88AD6" w14:textId="77777777" w:rsidR="00795E60" w:rsidRDefault="00F56376">
            <w:pPr>
              <w:pStyle w:val="Tabellcell"/>
            </w:pPr>
            <w:r>
              <w:rPr>
                <w:b/>
              </w:rPr>
              <w:t>Yrkesgrupp/ antal</w:t>
            </w:r>
          </w:p>
        </w:tc>
        <w:tc>
          <w:tcPr>
            <w:tcW w:w="2550" w:type="dxa"/>
            <w:gridSpan w:val="3"/>
            <w:tcBorders>
              <w:top w:val="single" w:sz="4" w:space="0" w:color="auto"/>
              <w:left w:val="single" w:sz="4" w:space="0" w:color="auto"/>
              <w:bottom w:val="single" w:sz="4" w:space="0" w:color="auto"/>
              <w:right w:val="single" w:sz="4" w:space="0" w:color="auto"/>
            </w:tcBorders>
            <w:shd w:val="clear" w:color="auto" w:fill="E1E9F2"/>
            <w:vAlign w:val="center"/>
          </w:tcPr>
          <w:p w14:paraId="578336CA" w14:textId="77777777" w:rsidR="00795E60" w:rsidRDefault="00F56376">
            <w:pPr>
              <w:pStyle w:val="Tabellcell"/>
              <w:jc w:val="center"/>
            </w:pPr>
            <w:r>
              <w:rPr>
                <w:b/>
              </w:rPr>
              <w:t>Antal årsarbetare                 per 31 dec 2025</w:t>
            </w:r>
          </w:p>
        </w:tc>
        <w:tc>
          <w:tcPr>
            <w:tcW w:w="2550" w:type="dxa"/>
            <w:gridSpan w:val="3"/>
            <w:tcBorders>
              <w:top w:val="single" w:sz="4" w:space="0" w:color="auto"/>
              <w:left w:val="single" w:sz="4" w:space="0" w:color="auto"/>
              <w:bottom w:val="single" w:sz="4" w:space="0" w:color="auto"/>
              <w:right w:val="single" w:sz="4" w:space="0" w:color="auto"/>
            </w:tcBorders>
            <w:shd w:val="clear" w:color="auto" w:fill="E1E9F2"/>
            <w:vAlign w:val="center"/>
          </w:tcPr>
          <w:p w14:paraId="5FD9D7BF" w14:textId="77777777" w:rsidR="00795E60" w:rsidRDefault="00F56376">
            <w:pPr>
              <w:pStyle w:val="Tabellcell"/>
              <w:jc w:val="center"/>
            </w:pPr>
            <w:r>
              <w:rPr>
                <w:b/>
              </w:rPr>
              <w:t>Antal årsarbetare                 per 31 dec 2024</w:t>
            </w:r>
          </w:p>
        </w:tc>
        <w:tc>
          <w:tcPr>
            <w:tcW w:w="2550" w:type="dxa"/>
            <w:gridSpan w:val="3"/>
            <w:tcBorders>
              <w:top w:val="single" w:sz="4" w:space="0" w:color="auto"/>
              <w:left w:val="single" w:sz="4" w:space="0" w:color="auto"/>
              <w:bottom w:val="single" w:sz="4" w:space="0" w:color="auto"/>
              <w:right w:val="nil"/>
            </w:tcBorders>
            <w:shd w:val="clear" w:color="auto" w:fill="E1E9F2"/>
            <w:vAlign w:val="center"/>
          </w:tcPr>
          <w:p w14:paraId="43369799" w14:textId="77777777" w:rsidR="00795E60" w:rsidRDefault="00F56376">
            <w:pPr>
              <w:pStyle w:val="Tabellcell"/>
              <w:jc w:val="center"/>
            </w:pPr>
            <w:r>
              <w:rPr>
                <w:b/>
              </w:rPr>
              <w:t>Förändring</w:t>
            </w:r>
          </w:p>
        </w:tc>
      </w:tr>
      <w:tr w:rsidR="00FC2AD8" w14:paraId="0F389603"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02C45D7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24389DC" w14:textId="77777777" w:rsidR="00795E60" w:rsidRDefault="00F56376">
            <w:pPr>
              <w:pStyle w:val="Tabellcell"/>
              <w:jc w:val="center"/>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0C83A8" w14:textId="77777777" w:rsidR="00795E60" w:rsidRDefault="00F56376">
            <w:pPr>
              <w:pStyle w:val="Tabellcell"/>
              <w:jc w:val="center"/>
            </w:pPr>
            <w:r>
              <w:rPr>
                <w:b/>
              </w:rPr>
              <w:t>Män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F23A07E" w14:textId="77777777" w:rsidR="00795E60" w:rsidRDefault="00F56376">
            <w:pPr>
              <w:pStyle w:val="Tabellcell"/>
              <w:jc w:val="center"/>
            </w:pPr>
            <w:r>
              <w:rPr>
                <w:b/>
              </w:rPr>
              <w:t>Totalt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4D0E127" w14:textId="77777777" w:rsidR="00795E60" w:rsidRDefault="00F56376">
            <w:pPr>
              <w:pStyle w:val="Tabellcell"/>
              <w:jc w:val="center"/>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C5A9E24" w14:textId="77777777" w:rsidR="00795E60" w:rsidRDefault="00F56376">
            <w:pPr>
              <w:pStyle w:val="Tabellcell"/>
              <w:jc w:val="center"/>
            </w:pPr>
            <w:r>
              <w:rPr>
                <w:b/>
              </w:rPr>
              <w:t>Män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71800E" w14:textId="77777777" w:rsidR="00795E60" w:rsidRDefault="00F56376">
            <w:pPr>
              <w:pStyle w:val="Tabellcell"/>
              <w:jc w:val="center"/>
            </w:pPr>
            <w:r>
              <w:rPr>
                <w:b/>
              </w:rPr>
              <w:t>Totalt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C4A5CAC" w14:textId="77777777" w:rsidR="00795E60" w:rsidRDefault="00F56376">
            <w:pPr>
              <w:pStyle w:val="Tabellcell"/>
              <w:jc w:val="center"/>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BD2062D" w14:textId="77777777" w:rsidR="00795E60" w:rsidRDefault="00F56376">
            <w:pPr>
              <w:pStyle w:val="Tabellcell"/>
              <w:jc w:val="center"/>
            </w:pPr>
            <w:r>
              <w:rPr>
                <w:b/>
              </w:rPr>
              <w:t>Män</w:t>
            </w:r>
          </w:p>
        </w:tc>
        <w:tc>
          <w:tcPr>
            <w:tcW w:w="850" w:type="dxa"/>
            <w:tcBorders>
              <w:top w:val="single" w:sz="4" w:space="0" w:color="auto"/>
              <w:left w:val="single" w:sz="4" w:space="0" w:color="auto"/>
              <w:bottom w:val="single" w:sz="4" w:space="0" w:color="auto"/>
              <w:right w:val="nil"/>
            </w:tcBorders>
            <w:shd w:val="clear" w:color="auto" w:fill="FFFFFF"/>
            <w:vAlign w:val="center"/>
          </w:tcPr>
          <w:p w14:paraId="7343E86D" w14:textId="77777777" w:rsidR="00795E60" w:rsidRDefault="00F56376">
            <w:pPr>
              <w:pStyle w:val="Tabellcell"/>
              <w:jc w:val="center"/>
            </w:pPr>
            <w:r>
              <w:rPr>
                <w:b/>
              </w:rPr>
              <w:t>Totalt</w:t>
            </w:r>
          </w:p>
        </w:tc>
      </w:tr>
      <w:tr w:rsidR="00FC2AD8" w14:paraId="7F447343" w14:textId="77777777">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08DFA0AC" w14:textId="77777777" w:rsidR="00795E60" w:rsidRDefault="00F56376">
            <w:pPr>
              <w:pStyle w:val="Tabellcell"/>
            </w:pPr>
            <w:r>
              <w:t>Chef</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623A714" w14:textId="77777777" w:rsidR="00795E60" w:rsidRDefault="00F56376">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0CD4D69" w14:textId="77777777" w:rsidR="00795E60" w:rsidRDefault="00F56376">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F1F6FE3" w14:textId="77777777" w:rsidR="00795E60" w:rsidRDefault="00F56376">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41440E3" w14:textId="77777777" w:rsidR="00795E60" w:rsidRDefault="00F56376">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80A342F" w14:textId="77777777" w:rsidR="00795E60" w:rsidRDefault="00F56376">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A80C252" w14:textId="77777777" w:rsidR="00795E60" w:rsidRDefault="00F56376">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8AB960F" w14:textId="77777777" w:rsidR="00795E60" w:rsidRDefault="00F56376">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9A8A838" w14:textId="77777777" w:rsidR="00795E60" w:rsidRDefault="00F56376">
            <w:pPr>
              <w:pStyle w:val="Tabellcell"/>
              <w:jc w:val="right"/>
            </w:pPr>
            <w:r>
              <w:t>0,0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564A6653" w14:textId="77777777" w:rsidR="00795E60" w:rsidRDefault="00F56376">
            <w:pPr>
              <w:pStyle w:val="Tabellcell"/>
              <w:jc w:val="right"/>
            </w:pPr>
            <w:r>
              <w:t>0,0</w:t>
            </w:r>
          </w:p>
        </w:tc>
      </w:tr>
      <w:tr w:rsidR="00FC2AD8" w14:paraId="43E6AD81" w14:textId="77777777">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0006CDE0" w14:textId="77777777" w:rsidR="00795E60" w:rsidRDefault="00F56376">
            <w:pPr>
              <w:pStyle w:val="Tabellcell"/>
            </w:pPr>
            <w:r>
              <w:t>Handläggare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014B9A8" w14:textId="77777777" w:rsidR="00795E60" w:rsidRDefault="00F56376">
            <w:pPr>
              <w:pStyle w:val="Tabellcell"/>
              <w:jc w:val="right"/>
            </w:pPr>
            <w:r>
              <w:t>14,0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6232D1C" w14:textId="77777777" w:rsidR="00795E60" w:rsidRDefault="00F56376">
            <w:pPr>
              <w:pStyle w:val="Tabellcell"/>
              <w:jc w:val="right"/>
            </w:pPr>
            <w:r>
              <w:t>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E8672CD" w14:textId="77777777" w:rsidR="00795E60" w:rsidRDefault="00F56376">
            <w:pPr>
              <w:pStyle w:val="Tabellcell"/>
              <w:jc w:val="right"/>
            </w:pPr>
            <w:r>
              <w:t>18,0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6EEDDF8" w14:textId="77777777" w:rsidR="00795E60" w:rsidRDefault="00F56376">
            <w:pPr>
              <w:pStyle w:val="Tabellcell"/>
              <w:jc w:val="right"/>
            </w:pPr>
            <w:r>
              <w:t>12,0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C62F1D" w14:textId="77777777" w:rsidR="00795E60" w:rsidRDefault="00F56376">
            <w:pPr>
              <w:pStyle w:val="Tabellcell"/>
              <w:jc w:val="right"/>
            </w:pPr>
            <w:r>
              <w:t>4,5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20A31F8" w14:textId="77777777" w:rsidR="00795E60" w:rsidRDefault="00F56376">
            <w:pPr>
              <w:pStyle w:val="Tabellcell"/>
              <w:jc w:val="right"/>
            </w:pPr>
            <w:r>
              <w:t>16,5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C2BC70B" w14:textId="77777777" w:rsidR="00795E60" w:rsidRDefault="00F56376">
            <w:pPr>
              <w:pStyle w:val="Tabellcell"/>
              <w:jc w:val="right"/>
            </w:pPr>
            <w:r>
              <w:t>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7FC391" w14:textId="77777777" w:rsidR="00795E60" w:rsidRDefault="00F56376">
            <w:pPr>
              <w:pStyle w:val="Tabellcell"/>
              <w:jc w:val="right"/>
            </w:pPr>
            <w:r>
              <w:t>-0,5</w:t>
            </w:r>
          </w:p>
        </w:tc>
        <w:tc>
          <w:tcPr>
            <w:tcW w:w="850" w:type="dxa"/>
            <w:tcBorders>
              <w:top w:val="single" w:sz="4" w:space="0" w:color="auto"/>
              <w:left w:val="single" w:sz="4" w:space="0" w:color="auto"/>
              <w:bottom w:val="single" w:sz="4" w:space="0" w:color="auto"/>
              <w:right w:val="nil"/>
            </w:tcBorders>
            <w:shd w:val="clear" w:color="auto" w:fill="FFFFFF"/>
            <w:vAlign w:val="center"/>
          </w:tcPr>
          <w:p w14:paraId="2E7E71F6" w14:textId="77777777" w:rsidR="00795E60" w:rsidRDefault="00F56376">
            <w:pPr>
              <w:pStyle w:val="Tabellcell"/>
              <w:jc w:val="right"/>
            </w:pPr>
            <w:r>
              <w:t>1,5</w:t>
            </w:r>
          </w:p>
        </w:tc>
      </w:tr>
      <w:tr w:rsidR="00FC2AD8" w14:paraId="6FCC7BCD"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039AFE1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C13669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F548B3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6CE83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16354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073C8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A9454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D2BC6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91D96A"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A4E7ADE" w14:textId="77777777" w:rsidR="00795E60" w:rsidRDefault="00795E60">
            <w:pPr>
              <w:pStyle w:val="Tabellcell"/>
            </w:pPr>
          </w:p>
        </w:tc>
      </w:tr>
      <w:tr w:rsidR="00FC2AD8" w14:paraId="6B1579B0"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12B6498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309D9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21A448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C3E25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CFABC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EFEC32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E913CF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4DC46A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8FC280"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3255AB4" w14:textId="77777777" w:rsidR="00795E60" w:rsidRDefault="00795E60">
            <w:pPr>
              <w:pStyle w:val="Tabellcell"/>
            </w:pPr>
          </w:p>
        </w:tc>
      </w:tr>
      <w:tr w:rsidR="00FC2AD8" w14:paraId="01E35B19"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31EA4E0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C0040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67AE8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9F420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9B5610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58633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E34A1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D9E19A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4B6945"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69126616" w14:textId="77777777" w:rsidR="00795E60" w:rsidRDefault="00795E60">
            <w:pPr>
              <w:pStyle w:val="Tabellcell"/>
            </w:pPr>
          </w:p>
        </w:tc>
      </w:tr>
      <w:tr w:rsidR="00FC2AD8" w14:paraId="37D48F49"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0A2A804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B883ED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4DEE80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677444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882DB6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F275A6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3C306E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BED2A6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7FB03D"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11990EAC" w14:textId="77777777" w:rsidR="00795E60" w:rsidRDefault="00795E60">
            <w:pPr>
              <w:pStyle w:val="Tabellcell"/>
            </w:pPr>
          </w:p>
        </w:tc>
      </w:tr>
      <w:tr w:rsidR="00FC2AD8" w14:paraId="333514F9"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7089C33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0127A0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DF699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8E23E4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A7C697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1E69FC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78C227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13A15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20C26C"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5CF77D5" w14:textId="77777777" w:rsidR="00795E60" w:rsidRDefault="00795E60">
            <w:pPr>
              <w:pStyle w:val="Tabellcell"/>
            </w:pPr>
          </w:p>
        </w:tc>
      </w:tr>
      <w:tr w:rsidR="00FC2AD8" w14:paraId="77D2C053"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1672723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F93A48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1CC4D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B90DA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4CADE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6B9788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45095B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8BCDA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5CEFB6"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4064D882" w14:textId="77777777" w:rsidR="00795E60" w:rsidRDefault="00795E60">
            <w:pPr>
              <w:pStyle w:val="Tabellcell"/>
            </w:pPr>
          </w:p>
        </w:tc>
      </w:tr>
      <w:tr w:rsidR="00FC2AD8" w14:paraId="088F9022"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6B292CD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5A9CAD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D6428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C36BB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70845B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366549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7C8150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DB5DC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7AA340C"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579BA180" w14:textId="77777777" w:rsidR="00795E60" w:rsidRDefault="00795E60">
            <w:pPr>
              <w:pStyle w:val="Tabellcell"/>
            </w:pPr>
          </w:p>
        </w:tc>
      </w:tr>
      <w:tr w:rsidR="00FC2AD8" w14:paraId="0649EBF9"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069919A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7A097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C8EB7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FF50D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CDED2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0FB3D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973A55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9B9B4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0A1D3DA"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B494E34" w14:textId="77777777" w:rsidR="00795E60" w:rsidRDefault="00795E60">
            <w:pPr>
              <w:pStyle w:val="Tabellcell"/>
            </w:pPr>
          </w:p>
        </w:tc>
      </w:tr>
      <w:tr w:rsidR="00FC2AD8" w14:paraId="2AEDBE15"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5CEE631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05BFC3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E8814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B582A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362EB8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F3961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FD161E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EA565E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445034"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9C58E37" w14:textId="77777777" w:rsidR="00795E60" w:rsidRDefault="00795E60">
            <w:pPr>
              <w:pStyle w:val="Tabellcell"/>
            </w:pPr>
          </w:p>
        </w:tc>
      </w:tr>
      <w:tr w:rsidR="00FC2AD8" w14:paraId="5EFF1C3D"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7DA1E6E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723D30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463ACD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EB03F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903A2E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B8D23A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09E80A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BBB958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66397A2"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5BD01E9" w14:textId="77777777" w:rsidR="00795E60" w:rsidRDefault="00795E60">
            <w:pPr>
              <w:pStyle w:val="Tabellcell"/>
            </w:pPr>
          </w:p>
        </w:tc>
      </w:tr>
      <w:tr w:rsidR="00FC2AD8" w14:paraId="784B1BA4"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7BEB2CC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8216EE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A7D4E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9F84F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BD233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FDD2B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8ABF5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7DAE07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2E2253F"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18BBD0EF" w14:textId="77777777" w:rsidR="00795E60" w:rsidRDefault="00795E60">
            <w:pPr>
              <w:pStyle w:val="Tabellcell"/>
            </w:pPr>
          </w:p>
        </w:tc>
      </w:tr>
      <w:tr w:rsidR="00FC2AD8" w14:paraId="67B8FDE2"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747052F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2BDF9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22E7D0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802E9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88532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EB32E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0D583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0FDC66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B0BBC7"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512085C7" w14:textId="77777777" w:rsidR="00795E60" w:rsidRDefault="00795E60">
            <w:pPr>
              <w:pStyle w:val="Tabellcell"/>
            </w:pPr>
          </w:p>
        </w:tc>
      </w:tr>
      <w:tr w:rsidR="00FC2AD8" w14:paraId="590E3952"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3EF0A8B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8601C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FEDBB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403D6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38028D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AB1E6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B99FD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36002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3B1AEF8"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29213CC" w14:textId="77777777" w:rsidR="00795E60" w:rsidRDefault="00795E60">
            <w:pPr>
              <w:pStyle w:val="Tabellcell"/>
            </w:pPr>
          </w:p>
        </w:tc>
      </w:tr>
      <w:tr w:rsidR="00FC2AD8" w14:paraId="787B86F6"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11B9F22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58C9E1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988D0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D6613E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015D1F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24DD2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44F4A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D69F86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56AF2BD"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12EF1168" w14:textId="77777777" w:rsidR="00795E60" w:rsidRDefault="00795E60">
            <w:pPr>
              <w:pStyle w:val="Tabellcell"/>
            </w:pPr>
          </w:p>
        </w:tc>
      </w:tr>
      <w:tr w:rsidR="00FC2AD8" w14:paraId="7B4398ED"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35F596C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A75E6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DCD7F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7566DC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9BD807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F56EA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3A2E35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F794C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713AE3F"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9108ED0" w14:textId="77777777" w:rsidR="00795E60" w:rsidRDefault="00795E60">
            <w:pPr>
              <w:pStyle w:val="Tabellcell"/>
            </w:pPr>
          </w:p>
        </w:tc>
      </w:tr>
      <w:tr w:rsidR="00FC2AD8" w14:paraId="7659750A"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6B4EB45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569F56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F945D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FA255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78918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07447C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7F285A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DFECBF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E26F5B"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53D6E69A" w14:textId="77777777" w:rsidR="00795E60" w:rsidRDefault="00795E60">
            <w:pPr>
              <w:pStyle w:val="Tabellcell"/>
            </w:pPr>
          </w:p>
        </w:tc>
      </w:tr>
      <w:tr w:rsidR="00FC2AD8" w14:paraId="28B9FBD9"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60EBEB5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AFE88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787C4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44859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C5A48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544E0F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E7790D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BFB6C0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76C3B08"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E2190BA" w14:textId="77777777" w:rsidR="00795E60" w:rsidRDefault="00795E60">
            <w:pPr>
              <w:pStyle w:val="Tabellcell"/>
            </w:pPr>
          </w:p>
        </w:tc>
      </w:tr>
      <w:tr w:rsidR="00FC2AD8" w14:paraId="501383CA"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01FF8A3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66971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BFBDF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E70DA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02F17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5F563F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09453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B0145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608EF2D"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FCC6A37" w14:textId="77777777" w:rsidR="00795E60" w:rsidRDefault="00795E60">
            <w:pPr>
              <w:pStyle w:val="Tabellcell"/>
            </w:pPr>
          </w:p>
        </w:tc>
      </w:tr>
      <w:tr w:rsidR="00FC2AD8" w14:paraId="46ACA180"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17B3C4F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98C0E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D2D311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9C10AA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DC2BDE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2FD005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03023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179C8E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1E4C71"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D67802A" w14:textId="77777777" w:rsidR="00795E60" w:rsidRDefault="00795E60">
            <w:pPr>
              <w:pStyle w:val="Tabellcell"/>
            </w:pPr>
          </w:p>
        </w:tc>
      </w:tr>
      <w:tr w:rsidR="00FC2AD8" w14:paraId="1434BBD0"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67BC87F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6B8C7C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D3F35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32BC56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1409DA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EC704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79C032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7319AD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50E730F"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46610CCC" w14:textId="77777777" w:rsidR="00795E60" w:rsidRDefault="00795E60">
            <w:pPr>
              <w:pStyle w:val="Tabellcell"/>
            </w:pPr>
          </w:p>
        </w:tc>
      </w:tr>
      <w:tr w:rsidR="00FC2AD8" w14:paraId="1E339D14"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4615DBE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A1EF6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693A8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9F6074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832E2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8D65F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08D23C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A3210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A35D94F"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5EDEA382" w14:textId="77777777" w:rsidR="00795E60" w:rsidRDefault="00795E60">
            <w:pPr>
              <w:pStyle w:val="Tabellcell"/>
            </w:pPr>
          </w:p>
        </w:tc>
      </w:tr>
      <w:tr w:rsidR="00FC2AD8" w14:paraId="7D287007"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3D1DBC7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D4F86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D4A5DF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903785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2C708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E4E8F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CA3F5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5ECF74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ED800C4"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FA23718" w14:textId="77777777" w:rsidR="00795E60" w:rsidRDefault="00795E60">
            <w:pPr>
              <w:pStyle w:val="Tabellcell"/>
            </w:pPr>
          </w:p>
        </w:tc>
      </w:tr>
      <w:tr w:rsidR="00FC2AD8" w14:paraId="3B8A273C" w14:textId="77777777">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135EB45B" w14:textId="77777777" w:rsidR="00795E60" w:rsidRDefault="00F56376">
            <w:pPr>
              <w:pStyle w:val="Tabellcell"/>
            </w:pPr>
            <w:r>
              <w:rPr>
                <w:b/>
              </w:rPr>
              <w:t>Summa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39CB9E" w14:textId="77777777" w:rsidR="00795E60" w:rsidRDefault="00F56376">
            <w:pPr>
              <w:pStyle w:val="Tabellcell"/>
              <w:jc w:val="right"/>
            </w:pPr>
            <w:r>
              <w:rPr>
                <w:b/>
              </w:rPr>
              <w:t>15,0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B454DF4" w14:textId="77777777" w:rsidR="00795E60" w:rsidRDefault="00F56376">
            <w:pPr>
              <w:pStyle w:val="Tabellcell"/>
              <w:jc w:val="right"/>
            </w:pPr>
            <w:r>
              <w:rPr>
                <w:b/>
              </w:rPr>
              <w:t>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CCC7683" w14:textId="77777777" w:rsidR="00795E60" w:rsidRDefault="00F56376">
            <w:pPr>
              <w:pStyle w:val="Tabellcell"/>
              <w:jc w:val="right"/>
            </w:pPr>
            <w:r>
              <w:rPr>
                <w:b/>
              </w:rPr>
              <w:t>19,0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AEB5683" w14:textId="77777777" w:rsidR="00795E60" w:rsidRDefault="00F56376">
            <w:pPr>
              <w:pStyle w:val="Tabellcell"/>
              <w:jc w:val="right"/>
            </w:pPr>
            <w:r>
              <w:rPr>
                <w:b/>
              </w:rPr>
              <w:t>13,0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16287AE" w14:textId="77777777" w:rsidR="00795E60" w:rsidRDefault="00F56376">
            <w:pPr>
              <w:pStyle w:val="Tabellcell"/>
              <w:jc w:val="right"/>
            </w:pPr>
            <w:r>
              <w:rPr>
                <w:b/>
              </w:rPr>
              <w:t>4,5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FBD881" w14:textId="77777777" w:rsidR="00795E60" w:rsidRDefault="00F56376">
            <w:pPr>
              <w:pStyle w:val="Tabellcell"/>
              <w:jc w:val="right"/>
            </w:pPr>
            <w:r>
              <w:rPr>
                <w:b/>
              </w:rPr>
              <w:t>17,5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7ADB2D7" w14:textId="77777777" w:rsidR="00795E60" w:rsidRDefault="00F56376">
            <w:pPr>
              <w:pStyle w:val="Tabellcell"/>
              <w:jc w:val="right"/>
            </w:pPr>
            <w:r>
              <w:rPr>
                <w:b/>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DB2CF93" w14:textId="77777777" w:rsidR="00795E60" w:rsidRDefault="00F56376">
            <w:pPr>
              <w:pStyle w:val="Tabellcell"/>
              <w:jc w:val="right"/>
            </w:pPr>
            <w:r>
              <w:rPr>
                <w:b/>
              </w:rPr>
              <w:t>-0,5</w:t>
            </w:r>
          </w:p>
        </w:tc>
        <w:tc>
          <w:tcPr>
            <w:tcW w:w="850" w:type="dxa"/>
            <w:tcBorders>
              <w:top w:val="single" w:sz="4" w:space="0" w:color="auto"/>
              <w:left w:val="single" w:sz="4" w:space="0" w:color="auto"/>
              <w:bottom w:val="single" w:sz="4" w:space="0" w:color="auto"/>
              <w:right w:val="nil"/>
            </w:tcBorders>
            <w:shd w:val="clear" w:color="auto" w:fill="FFFFFF"/>
            <w:vAlign w:val="center"/>
          </w:tcPr>
          <w:p w14:paraId="7FD222B3" w14:textId="77777777" w:rsidR="00795E60" w:rsidRDefault="00F56376">
            <w:pPr>
              <w:pStyle w:val="Tabellcell"/>
              <w:jc w:val="right"/>
            </w:pPr>
            <w:r>
              <w:rPr>
                <w:b/>
              </w:rPr>
              <w:t>1,5</w:t>
            </w:r>
          </w:p>
        </w:tc>
      </w:tr>
      <w:tr w:rsidR="00FC2AD8" w14:paraId="08BD67D2" w14:textId="77777777">
        <w:trPr>
          <w:cantSplit w:val="0"/>
        </w:trPr>
        <w:tc>
          <w:tcPr>
            <w:tcW w:w="9634" w:type="dxa"/>
            <w:gridSpan w:val="10"/>
            <w:tcBorders>
              <w:top w:val="single" w:sz="4" w:space="0" w:color="auto"/>
              <w:left w:val="nil"/>
              <w:bottom w:val="nil"/>
              <w:right w:val="nil"/>
            </w:tcBorders>
            <w:shd w:val="clear" w:color="auto" w:fill="FFFFFF"/>
            <w:vAlign w:val="center"/>
          </w:tcPr>
          <w:p w14:paraId="3E100C87" w14:textId="77777777" w:rsidR="00795E60" w:rsidRDefault="00F56376">
            <w:pPr>
              <w:pStyle w:val="Tabellcell"/>
            </w:pPr>
            <w:r>
              <w:rPr>
                <w:i/>
              </w:rPr>
              <w:t xml:space="preserve">Definition: Med årsarbetare avtalad sysselsättningsgrad avses avtalad sysselsättningsgrad (utifrån anställningsavtal). En person som är anställd på 100% är 1 årsarbetare medan en person som är </w:t>
            </w:r>
            <w:r>
              <w:rPr>
                <w:i/>
              </w:rPr>
              <w:t>anställd på 75% är 0,75 årsarbetare.</w:t>
            </w:r>
          </w:p>
        </w:tc>
      </w:tr>
    </w:tbl>
    <w:p w14:paraId="65448F6B" w14:textId="77777777" w:rsidR="00795E60" w:rsidRDefault="00F56376">
      <w:pPr>
        <w:pStyle w:val="BodyText"/>
        <w:widowControl w:val="0"/>
        <w:spacing w:before="160"/>
      </w:pPr>
      <w:r>
        <w:t>Förvaltningen har under 2025 fortsatt att bibehålla en restriktiv hållning om än mildare än under föregående år där förvaltningschef är den som fortsatt beslutar om rekrytering.</w:t>
      </w:r>
    </w:p>
    <w:p w14:paraId="123EFB8D" w14:textId="77777777" w:rsidR="00795E60" w:rsidRDefault="00F56376">
      <w:pPr>
        <w:pStyle w:val="Rubrik2"/>
      </w:pPr>
      <w:bookmarkStart w:id="14" w:name="_Toc220678304"/>
      <w:r>
        <w:lastRenderedPageBreak/>
        <w:t xml:space="preserve">Årsarbetare exklusive </w:t>
      </w:r>
      <w:r>
        <w:t>tjänstlediga</w:t>
      </w:r>
      <w:bookmarkEnd w:id="14"/>
    </w:p>
    <w:tbl>
      <w:tblPr>
        <w:tblStyle w:val="Tabellrutnt"/>
        <w:tblOverlap w:val="never"/>
        <w:tblW w:w="0" w:type="auto"/>
        <w:tblLayout w:type="fixed"/>
        <w:tblLook w:val="04A0" w:firstRow="1" w:lastRow="0" w:firstColumn="1" w:lastColumn="0" w:noHBand="0" w:noVBand="1"/>
      </w:tblPr>
      <w:tblGrid>
        <w:gridCol w:w="1984"/>
        <w:gridCol w:w="850"/>
        <w:gridCol w:w="850"/>
        <w:gridCol w:w="850"/>
        <w:gridCol w:w="850"/>
        <w:gridCol w:w="850"/>
        <w:gridCol w:w="850"/>
        <w:gridCol w:w="850"/>
        <w:gridCol w:w="850"/>
        <w:gridCol w:w="850"/>
      </w:tblGrid>
      <w:tr w:rsidR="00FC2AD8" w14:paraId="2FE77240" w14:textId="77777777">
        <w:trPr>
          <w:cantSplit w:val="0"/>
        </w:trPr>
        <w:tc>
          <w:tcPr>
            <w:tcW w:w="1984" w:type="dxa"/>
            <w:tcBorders>
              <w:top w:val="single" w:sz="4" w:space="0" w:color="auto"/>
              <w:left w:val="nil"/>
              <w:bottom w:val="single" w:sz="4" w:space="0" w:color="auto"/>
              <w:right w:val="single" w:sz="4" w:space="0" w:color="auto"/>
            </w:tcBorders>
            <w:shd w:val="clear" w:color="auto" w:fill="E1E9F2"/>
            <w:vAlign w:val="center"/>
          </w:tcPr>
          <w:p w14:paraId="1545177B" w14:textId="77777777" w:rsidR="00795E60" w:rsidRDefault="00F56376">
            <w:pPr>
              <w:pStyle w:val="Tabellcell"/>
            </w:pPr>
            <w:r>
              <w:rPr>
                <w:b/>
              </w:rPr>
              <w:t>Yrkesgrupp/ antal</w:t>
            </w:r>
          </w:p>
        </w:tc>
        <w:tc>
          <w:tcPr>
            <w:tcW w:w="2550" w:type="dxa"/>
            <w:gridSpan w:val="3"/>
            <w:tcBorders>
              <w:top w:val="single" w:sz="4" w:space="0" w:color="auto"/>
              <w:left w:val="single" w:sz="4" w:space="0" w:color="auto"/>
              <w:bottom w:val="single" w:sz="4" w:space="0" w:color="auto"/>
              <w:right w:val="single" w:sz="4" w:space="0" w:color="auto"/>
            </w:tcBorders>
            <w:shd w:val="clear" w:color="auto" w:fill="E1E9F2"/>
            <w:vAlign w:val="center"/>
          </w:tcPr>
          <w:p w14:paraId="16A2998F" w14:textId="77777777" w:rsidR="00795E60" w:rsidRDefault="00F56376">
            <w:pPr>
              <w:pStyle w:val="Tabellcell"/>
              <w:jc w:val="center"/>
            </w:pPr>
            <w:r>
              <w:rPr>
                <w:b/>
              </w:rPr>
              <w:t>Anställning per 31 dec 2025</w:t>
            </w:r>
          </w:p>
        </w:tc>
        <w:tc>
          <w:tcPr>
            <w:tcW w:w="2550" w:type="dxa"/>
            <w:gridSpan w:val="3"/>
            <w:tcBorders>
              <w:top w:val="single" w:sz="4" w:space="0" w:color="auto"/>
              <w:left w:val="single" w:sz="4" w:space="0" w:color="auto"/>
              <w:bottom w:val="single" w:sz="4" w:space="0" w:color="auto"/>
              <w:right w:val="single" w:sz="4" w:space="0" w:color="auto"/>
            </w:tcBorders>
            <w:shd w:val="clear" w:color="auto" w:fill="E1E9F2"/>
            <w:vAlign w:val="center"/>
          </w:tcPr>
          <w:p w14:paraId="76E9CE8D" w14:textId="77777777" w:rsidR="00795E60" w:rsidRDefault="00F56376">
            <w:pPr>
              <w:pStyle w:val="Tabellcell"/>
              <w:jc w:val="center"/>
            </w:pPr>
            <w:r>
              <w:rPr>
                <w:b/>
              </w:rPr>
              <w:t>Anställning per 31 dec 2024</w:t>
            </w:r>
          </w:p>
        </w:tc>
        <w:tc>
          <w:tcPr>
            <w:tcW w:w="2550" w:type="dxa"/>
            <w:gridSpan w:val="3"/>
            <w:tcBorders>
              <w:top w:val="single" w:sz="4" w:space="0" w:color="auto"/>
              <w:left w:val="single" w:sz="4" w:space="0" w:color="auto"/>
              <w:bottom w:val="single" w:sz="4" w:space="0" w:color="auto"/>
              <w:right w:val="nil"/>
            </w:tcBorders>
            <w:shd w:val="clear" w:color="auto" w:fill="E1E9F2"/>
            <w:vAlign w:val="center"/>
          </w:tcPr>
          <w:p w14:paraId="02A5DBA1" w14:textId="77777777" w:rsidR="00795E60" w:rsidRDefault="00F56376">
            <w:pPr>
              <w:pStyle w:val="Tabellcell"/>
              <w:jc w:val="center"/>
            </w:pPr>
            <w:r>
              <w:rPr>
                <w:b/>
              </w:rPr>
              <w:t>Förändring</w:t>
            </w:r>
          </w:p>
        </w:tc>
      </w:tr>
      <w:tr w:rsidR="00FC2AD8" w14:paraId="5CF908B9"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5D16D50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FF71481" w14:textId="77777777" w:rsidR="00795E60" w:rsidRDefault="00F56376">
            <w:pPr>
              <w:pStyle w:val="Tabellcell"/>
              <w:jc w:val="center"/>
            </w:pPr>
            <w:r>
              <w:rPr>
                <w:b/>
              </w:rPr>
              <w:t>Tills- vidare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4DA8416" w14:textId="77777777" w:rsidR="00795E60" w:rsidRDefault="00F56376">
            <w:pPr>
              <w:pStyle w:val="Tabellcell"/>
              <w:jc w:val="center"/>
            </w:pPr>
            <w:r>
              <w:rPr>
                <w:b/>
              </w:rPr>
              <w:t>Viss- tid</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E0A170F" w14:textId="77777777" w:rsidR="00795E60" w:rsidRDefault="00F56376">
            <w:pPr>
              <w:pStyle w:val="Tabellcell"/>
              <w:jc w:val="center"/>
            </w:pPr>
            <w:r>
              <w:rPr>
                <w:b/>
              </w:rPr>
              <w:t>Totalt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42376D6" w14:textId="77777777" w:rsidR="00795E60" w:rsidRDefault="00F56376">
            <w:pPr>
              <w:pStyle w:val="Tabellcell"/>
              <w:jc w:val="center"/>
            </w:pPr>
            <w:r>
              <w:rPr>
                <w:b/>
              </w:rPr>
              <w:t>Tills- vidare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F92C829" w14:textId="77777777" w:rsidR="00795E60" w:rsidRDefault="00F56376">
            <w:pPr>
              <w:pStyle w:val="Tabellcell"/>
              <w:jc w:val="center"/>
            </w:pPr>
            <w:r>
              <w:rPr>
                <w:b/>
              </w:rPr>
              <w:t>Viss- tid</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D158D42" w14:textId="77777777" w:rsidR="00795E60" w:rsidRDefault="00F56376">
            <w:pPr>
              <w:pStyle w:val="Tabellcell"/>
              <w:jc w:val="center"/>
            </w:pPr>
            <w:r>
              <w:rPr>
                <w:b/>
              </w:rPr>
              <w:t>Totalt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ED8F7F1" w14:textId="77777777" w:rsidR="00795E60" w:rsidRDefault="00F56376">
            <w:pPr>
              <w:pStyle w:val="Tabellcell"/>
              <w:jc w:val="center"/>
            </w:pPr>
            <w:r>
              <w:rPr>
                <w:b/>
              </w:rPr>
              <w:t>Tills- vidare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4AC9FA9" w14:textId="77777777" w:rsidR="00795E60" w:rsidRDefault="00F56376">
            <w:pPr>
              <w:pStyle w:val="Tabellcell"/>
              <w:jc w:val="center"/>
            </w:pPr>
            <w:r>
              <w:rPr>
                <w:b/>
              </w:rPr>
              <w:t>Viss- tid</w:t>
            </w:r>
          </w:p>
        </w:tc>
        <w:tc>
          <w:tcPr>
            <w:tcW w:w="850" w:type="dxa"/>
            <w:tcBorders>
              <w:top w:val="single" w:sz="4" w:space="0" w:color="auto"/>
              <w:left w:val="single" w:sz="4" w:space="0" w:color="auto"/>
              <w:bottom w:val="single" w:sz="4" w:space="0" w:color="auto"/>
              <w:right w:val="nil"/>
            </w:tcBorders>
            <w:shd w:val="clear" w:color="auto" w:fill="FFFFFF"/>
            <w:vAlign w:val="center"/>
          </w:tcPr>
          <w:p w14:paraId="6D75D854" w14:textId="77777777" w:rsidR="00795E60" w:rsidRDefault="00F56376">
            <w:pPr>
              <w:pStyle w:val="Tabellcell"/>
              <w:jc w:val="center"/>
            </w:pPr>
            <w:r>
              <w:rPr>
                <w:b/>
              </w:rPr>
              <w:t>Totalt</w:t>
            </w:r>
          </w:p>
        </w:tc>
      </w:tr>
      <w:tr w:rsidR="00FC2AD8" w14:paraId="15CDBA4F" w14:textId="77777777">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58D084EF" w14:textId="77777777" w:rsidR="00795E60" w:rsidRDefault="00F56376">
            <w:pPr>
              <w:pStyle w:val="Tabellcell"/>
            </w:pPr>
            <w:r>
              <w:t>Chef</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288BBF6" w14:textId="77777777" w:rsidR="00795E60" w:rsidRDefault="00F56376">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29F9EDD" w14:textId="77777777" w:rsidR="00795E60" w:rsidRDefault="00F56376">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09E5D9A" w14:textId="77777777" w:rsidR="00795E60" w:rsidRDefault="00F56376">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79A433" w14:textId="77777777" w:rsidR="00795E60" w:rsidRDefault="00F56376">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9D2EC4" w14:textId="77777777" w:rsidR="00795E60" w:rsidRDefault="00F56376">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17E0F5" w14:textId="77777777" w:rsidR="00795E60" w:rsidRDefault="00F56376">
            <w:pPr>
              <w:pStyle w:val="Tabellcell"/>
              <w:jc w:val="right"/>
            </w:pPr>
            <w:r>
              <w:t>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F1DE2FC" w14:textId="77777777" w:rsidR="00795E60" w:rsidRDefault="00F56376">
            <w:pPr>
              <w:pStyle w:val="Tabellcell"/>
              <w:jc w:val="right"/>
            </w:pPr>
            <w: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8999811" w14:textId="77777777" w:rsidR="00795E60" w:rsidRDefault="00F56376">
            <w:pPr>
              <w:pStyle w:val="Tabellcell"/>
              <w:jc w:val="right"/>
            </w:pPr>
            <w:r>
              <w:t>0,0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176B98B3" w14:textId="77777777" w:rsidR="00795E60" w:rsidRDefault="00F56376">
            <w:pPr>
              <w:pStyle w:val="Tabellcell"/>
              <w:jc w:val="right"/>
            </w:pPr>
            <w:r>
              <w:t>0,0</w:t>
            </w:r>
          </w:p>
        </w:tc>
      </w:tr>
      <w:tr w:rsidR="00FC2AD8" w14:paraId="1AAD154E" w14:textId="77777777">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107133C8" w14:textId="77777777" w:rsidR="00795E60" w:rsidRDefault="00F56376">
            <w:pPr>
              <w:pStyle w:val="Tabellcell"/>
            </w:pPr>
            <w:r>
              <w:t>Handläggare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1DC3348" w14:textId="77777777" w:rsidR="00795E60" w:rsidRDefault="00F56376">
            <w:pPr>
              <w:pStyle w:val="Tabellcell"/>
              <w:jc w:val="right"/>
            </w:pPr>
            <w:r>
              <w:t>16,7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7A830C3" w14:textId="77777777" w:rsidR="00795E60" w:rsidRDefault="00F56376">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A63A059" w14:textId="77777777" w:rsidR="00795E60" w:rsidRDefault="00F56376">
            <w:pPr>
              <w:pStyle w:val="Tabellcell"/>
              <w:jc w:val="right"/>
            </w:pPr>
            <w:r>
              <w:t>16,7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0B6BAC" w14:textId="77777777" w:rsidR="00795E60" w:rsidRDefault="00F56376">
            <w:pPr>
              <w:pStyle w:val="Tabellcell"/>
              <w:jc w:val="right"/>
            </w:pPr>
            <w:r>
              <w:t>15,8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02E6A31" w14:textId="77777777" w:rsidR="00795E60" w:rsidRDefault="00F56376">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FACC94C" w14:textId="77777777" w:rsidR="00795E60" w:rsidRDefault="00F56376">
            <w:pPr>
              <w:pStyle w:val="Tabellcell"/>
              <w:jc w:val="right"/>
            </w:pPr>
            <w:r>
              <w:t>15,8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2B326E0" w14:textId="77777777" w:rsidR="00795E60" w:rsidRDefault="00F56376">
            <w:pPr>
              <w:pStyle w:val="Tabellcell"/>
              <w:jc w:val="right"/>
            </w:pPr>
            <w:r>
              <w:t>0,9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DE7370A" w14:textId="77777777" w:rsidR="00795E60" w:rsidRDefault="00F56376">
            <w:pPr>
              <w:pStyle w:val="Tabellcell"/>
              <w:jc w:val="right"/>
            </w:pPr>
            <w:r>
              <w:t>0,0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5A376867" w14:textId="77777777" w:rsidR="00795E60" w:rsidRDefault="00F56376">
            <w:pPr>
              <w:pStyle w:val="Tabellcell"/>
              <w:jc w:val="right"/>
            </w:pPr>
            <w:r>
              <w:t>0,9</w:t>
            </w:r>
          </w:p>
        </w:tc>
      </w:tr>
      <w:tr w:rsidR="00FC2AD8" w14:paraId="27BF51BF"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7D171BA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8D29C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890CE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8C1417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F8CDD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BFC9A2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B1973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03E24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C0D16A3"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0D2A3852" w14:textId="77777777" w:rsidR="00795E60" w:rsidRDefault="00795E60">
            <w:pPr>
              <w:pStyle w:val="Tabellcell"/>
            </w:pPr>
          </w:p>
        </w:tc>
      </w:tr>
      <w:tr w:rsidR="00FC2AD8" w14:paraId="411D9A97"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71AFC97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D0426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3904C8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1D57CB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61D401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B303EC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E5E88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315993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A4CD71"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236A53CD" w14:textId="77777777" w:rsidR="00795E60" w:rsidRDefault="00795E60">
            <w:pPr>
              <w:pStyle w:val="Tabellcell"/>
            </w:pPr>
          </w:p>
        </w:tc>
      </w:tr>
      <w:tr w:rsidR="00FC2AD8" w14:paraId="40B7CFE9"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27C078C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DE5858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93FE70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38EDBB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A901C6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59F61B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751E8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E1FC6A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13D5D1"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7FEB022" w14:textId="77777777" w:rsidR="00795E60" w:rsidRDefault="00795E60">
            <w:pPr>
              <w:pStyle w:val="Tabellcell"/>
            </w:pPr>
          </w:p>
        </w:tc>
      </w:tr>
      <w:tr w:rsidR="00FC2AD8" w14:paraId="51396D8A"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66AFE30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4A5650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217D1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7C869A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8A933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53DC95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62094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20A367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D7647D"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6E370EA3" w14:textId="77777777" w:rsidR="00795E60" w:rsidRDefault="00795E60">
            <w:pPr>
              <w:pStyle w:val="Tabellcell"/>
            </w:pPr>
          </w:p>
        </w:tc>
      </w:tr>
      <w:tr w:rsidR="00FC2AD8" w14:paraId="5F8AC1FE"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232C176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D89D2A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B64535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2DF4E9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BD6999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2D04D6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35CCF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7061A0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021F5E3"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1E2A96E" w14:textId="77777777" w:rsidR="00795E60" w:rsidRDefault="00795E60">
            <w:pPr>
              <w:pStyle w:val="Tabellcell"/>
            </w:pPr>
          </w:p>
        </w:tc>
      </w:tr>
      <w:tr w:rsidR="00FC2AD8" w14:paraId="2F4ABCD1"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69411E1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2D2D8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37881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6C356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4A25A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938B6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F58B5E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948436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44F9008"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1B5537CF" w14:textId="77777777" w:rsidR="00795E60" w:rsidRDefault="00795E60">
            <w:pPr>
              <w:pStyle w:val="Tabellcell"/>
            </w:pPr>
          </w:p>
        </w:tc>
      </w:tr>
      <w:tr w:rsidR="00FC2AD8" w14:paraId="5343130F"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613A75B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C3CF5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F71EB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7623CF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EC93AC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DFB6F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97BB63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0A3F9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6353A26"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3049E8B" w14:textId="77777777" w:rsidR="00795E60" w:rsidRDefault="00795E60">
            <w:pPr>
              <w:pStyle w:val="Tabellcell"/>
            </w:pPr>
          </w:p>
        </w:tc>
      </w:tr>
      <w:tr w:rsidR="00FC2AD8" w14:paraId="4D0EE29A"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4F3F1B1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2FFFA4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307DD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C5835A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0E7F5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A38E1D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33C9A6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6FCE63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19BD87"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988B830" w14:textId="77777777" w:rsidR="00795E60" w:rsidRDefault="00795E60">
            <w:pPr>
              <w:pStyle w:val="Tabellcell"/>
            </w:pPr>
          </w:p>
        </w:tc>
      </w:tr>
      <w:tr w:rsidR="00FC2AD8" w14:paraId="2F81A209"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4F180DA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8CFB19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2DD522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FA5DA5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8B6279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193FC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6B11F3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07845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6C7450"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5EB70D2F" w14:textId="77777777" w:rsidR="00795E60" w:rsidRDefault="00795E60">
            <w:pPr>
              <w:pStyle w:val="Tabellcell"/>
            </w:pPr>
          </w:p>
        </w:tc>
      </w:tr>
      <w:tr w:rsidR="00FC2AD8" w14:paraId="5E5E9C9F"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1B32049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8E60B9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575C5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7DA60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575E7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3D0DC9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AB7E5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41BE37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F24E14"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56AA4D26" w14:textId="77777777" w:rsidR="00795E60" w:rsidRDefault="00795E60">
            <w:pPr>
              <w:pStyle w:val="Tabellcell"/>
            </w:pPr>
          </w:p>
        </w:tc>
      </w:tr>
      <w:tr w:rsidR="00FC2AD8" w14:paraId="680AC9B9"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6EAB563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17E07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509FBC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B0D125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85F9B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1C98DF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58F8B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49EA7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AB54967"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7CDAA4B" w14:textId="77777777" w:rsidR="00795E60" w:rsidRDefault="00795E60">
            <w:pPr>
              <w:pStyle w:val="Tabellcell"/>
            </w:pPr>
          </w:p>
        </w:tc>
      </w:tr>
      <w:tr w:rsidR="00FC2AD8" w14:paraId="678F68A3"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00E9AD2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A5719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026F7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D7AF88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19CBEB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4CB9F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B87D40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4DE2EC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AB5ED32"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605993FE" w14:textId="77777777" w:rsidR="00795E60" w:rsidRDefault="00795E60">
            <w:pPr>
              <w:pStyle w:val="Tabellcell"/>
            </w:pPr>
          </w:p>
        </w:tc>
      </w:tr>
      <w:tr w:rsidR="00FC2AD8" w14:paraId="07ABC193"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03AE2E9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C3E875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5D9D8D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605C3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8BF697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23E349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773E1A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3A41C5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9DFB4DC"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62A1671" w14:textId="77777777" w:rsidR="00795E60" w:rsidRDefault="00795E60">
            <w:pPr>
              <w:pStyle w:val="Tabellcell"/>
            </w:pPr>
          </w:p>
        </w:tc>
      </w:tr>
      <w:tr w:rsidR="00FC2AD8" w14:paraId="4AC79DB3"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632DD3A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01EABA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3ABFFA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87BAFB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C10D79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D2BD36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55B34C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704558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525F28"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F195B12" w14:textId="77777777" w:rsidR="00795E60" w:rsidRDefault="00795E60">
            <w:pPr>
              <w:pStyle w:val="Tabellcell"/>
            </w:pPr>
          </w:p>
        </w:tc>
      </w:tr>
      <w:tr w:rsidR="00FC2AD8" w14:paraId="5BD3471C"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66F9C5E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729FBA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0A7C2C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E84453"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F9223E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78499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ABABD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EC920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FABDDFA"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5F6FB72E" w14:textId="77777777" w:rsidR="00795E60" w:rsidRDefault="00795E60">
            <w:pPr>
              <w:pStyle w:val="Tabellcell"/>
            </w:pPr>
          </w:p>
        </w:tc>
      </w:tr>
      <w:tr w:rsidR="00FC2AD8" w14:paraId="500D36F4"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535BF07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925B3C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66F380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3C64B9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94F169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23130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9E8BE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6AD16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3F008D9"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A906205" w14:textId="77777777" w:rsidR="00795E60" w:rsidRDefault="00795E60">
            <w:pPr>
              <w:pStyle w:val="Tabellcell"/>
            </w:pPr>
          </w:p>
        </w:tc>
      </w:tr>
      <w:tr w:rsidR="00FC2AD8" w14:paraId="1AAFC268"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2602000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5C756F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B6046C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789171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47A76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4EE9A9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0ADBA8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DA53F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9D41308"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47EAEDC0" w14:textId="77777777" w:rsidR="00795E60" w:rsidRDefault="00795E60">
            <w:pPr>
              <w:pStyle w:val="Tabellcell"/>
            </w:pPr>
          </w:p>
        </w:tc>
      </w:tr>
      <w:tr w:rsidR="00FC2AD8" w14:paraId="7269A2BC"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63C1D99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C5261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C53D91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7BCF85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78EF98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08133A"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7D667B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755DAE7"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3BBC0AF"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4DBE193" w14:textId="77777777" w:rsidR="00795E60" w:rsidRDefault="00795E60">
            <w:pPr>
              <w:pStyle w:val="Tabellcell"/>
            </w:pPr>
          </w:p>
        </w:tc>
      </w:tr>
      <w:tr w:rsidR="00FC2AD8" w14:paraId="0C5B144D"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5994FA6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58632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0E04EB8"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838BF3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40D4B3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D0A944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9E857B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78F59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872AF53"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2BCB43B" w14:textId="77777777" w:rsidR="00795E60" w:rsidRDefault="00795E60">
            <w:pPr>
              <w:pStyle w:val="Tabellcell"/>
            </w:pPr>
          </w:p>
        </w:tc>
      </w:tr>
      <w:tr w:rsidR="00FC2AD8" w14:paraId="1C600445"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1D2691C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BB38E41"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265435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D4E71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FB388E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597A3F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7A0E5B"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685617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5F82895"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0C39B1A0" w14:textId="77777777" w:rsidR="00795E60" w:rsidRDefault="00795E60">
            <w:pPr>
              <w:pStyle w:val="Tabellcell"/>
            </w:pPr>
          </w:p>
        </w:tc>
      </w:tr>
      <w:tr w:rsidR="00FC2AD8" w14:paraId="2004138A"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2A9086F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955DB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37DAC4"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FD06306"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873C48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467535"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60B651F"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331B3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9A72B34"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3D311BCB" w14:textId="77777777" w:rsidR="00795E60" w:rsidRDefault="00795E60">
            <w:pPr>
              <w:pStyle w:val="Tabellcell"/>
            </w:pPr>
          </w:p>
        </w:tc>
      </w:tr>
      <w:tr w:rsidR="00FC2AD8" w14:paraId="6FFE5F63" w14:textId="77777777">
        <w:trPr>
          <w:cantSplit w:val="0"/>
        </w:trPr>
        <w:tc>
          <w:tcPr>
            <w:tcW w:w="198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576E51F9"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4BAA2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7CC6FB0"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E5AFFD"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9D8342"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BC148A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0DFC8C"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09E6FAE" w14:textId="77777777" w:rsidR="00795E60" w:rsidRDefault="00795E60">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92F6AD6" w14:textId="77777777" w:rsidR="00795E60" w:rsidRDefault="00795E60">
            <w:pPr>
              <w:pStyle w:val="Tabellcell"/>
            </w:pPr>
          </w:p>
        </w:tc>
        <w:tc>
          <w:tcPr>
            <w:tcW w:w="850"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14:paraId="7B225AB2" w14:textId="77777777" w:rsidR="00795E60" w:rsidRDefault="00795E60">
            <w:pPr>
              <w:pStyle w:val="Tabellcell"/>
            </w:pPr>
          </w:p>
        </w:tc>
      </w:tr>
      <w:tr w:rsidR="00FC2AD8" w14:paraId="17A13B8E" w14:textId="77777777">
        <w:trPr>
          <w:cantSplit w:val="0"/>
        </w:trPr>
        <w:tc>
          <w:tcPr>
            <w:tcW w:w="1984" w:type="dxa"/>
            <w:tcBorders>
              <w:top w:val="single" w:sz="4" w:space="0" w:color="auto"/>
              <w:left w:val="nil"/>
              <w:bottom w:val="single" w:sz="4" w:space="0" w:color="auto"/>
              <w:right w:val="single" w:sz="4" w:space="0" w:color="auto"/>
            </w:tcBorders>
            <w:shd w:val="clear" w:color="auto" w:fill="FFFFFF"/>
            <w:vAlign w:val="center"/>
          </w:tcPr>
          <w:p w14:paraId="0C9E5B91" w14:textId="77777777" w:rsidR="00795E60" w:rsidRDefault="00F56376">
            <w:pPr>
              <w:pStyle w:val="Tabellcell"/>
            </w:pPr>
            <w:r>
              <w:rPr>
                <w:b/>
              </w:rPr>
              <w:t>Summa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22B943B" w14:textId="77777777" w:rsidR="00795E60" w:rsidRDefault="00F56376">
            <w:pPr>
              <w:pStyle w:val="Tabellcell"/>
              <w:jc w:val="right"/>
            </w:pPr>
            <w:r>
              <w:rPr>
                <w:b/>
              </w:rPr>
              <w:t>17,7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CE26B02" w14:textId="77777777" w:rsidR="00795E60" w:rsidRDefault="00F56376">
            <w:pPr>
              <w:pStyle w:val="Tabellcell"/>
              <w:jc w:val="right"/>
            </w:pPr>
            <w:r>
              <w:rPr>
                <w:b/>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3001D2" w14:textId="77777777" w:rsidR="00795E60" w:rsidRDefault="00F56376">
            <w:pPr>
              <w:pStyle w:val="Tabellcell"/>
              <w:jc w:val="right"/>
            </w:pPr>
            <w:r>
              <w:rPr>
                <w:b/>
              </w:rPr>
              <w:t>17,7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DC2A3D0" w14:textId="77777777" w:rsidR="00795E60" w:rsidRDefault="00F56376">
            <w:pPr>
              <w:pStyle w:val="Tabellcell"/>
              <w:jc w:val="right"/>
            </w:pPr>
            <w:r>
              <w:rPr>
                <w:b/>
              </w:rPr>
              <w:t>16,8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F134A30" w14:textId="77777777" w:rsidR="00795E60" w:rsidRDefault="00F56376">
            <w:pPr>
              <w:pStyle w:val="Tabellcell"/>
              <w:jc w:val="right"/>
            </w:pPr>
            <w:r>
              <w:rPr>
                <w:b/>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211F54B" w14:textId="77777777" w:rsidR="00795E60" w:rsidRDefault="00F56376">
            <w:pPr>
              <w:pStyle w:val="Tabellcell"/>
              <w:jc w:val="right"/>
            </w:pPr>
            <w:r>
              <w:rPr>
                <w:b/>
              </w:rPr>
              <w:t>16,8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5FC20C8" w14:textId="77777777" w:rsidR="00795E60" w:rsidRDefault="00F56376">
            <w:pPr>
              <w:pStyle w:val="Tabellcell"/>
              <w:jc w:val="right"/>
            </w:pPr>
            <w:r>
              <w:rPr>
                <w:b/>
              </w:rPr>
              <w:t>0,9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48246AB" w14:textId="77777777" w:rsidR="00795E60" w:rsidRDefault="00F56376">
            <w:pPr>
              <w:pStyle w:val="Tabellcell"/>
              <w:jc w:val="right"/>
            </w:pPr>
            <w:r>
              <w:rPr>
                <w:b/>
              </w:rPr>
              <w:t>0,0</w:t>
            </w:r>
          </w:p>
        </w:tc>
        <w:tc>
          <w:tcPr>
            <w:tcW w:w="850" w:type="dxa"/>
            <w:tcBorders>
              <w:top w:val="single" w:sz="4" w:space="0" w:color="auto"/>
              <w:left w:val="single" w:sz="4" w:space="0" w:color="auto"/>
              <w:bottom w:val="single" w:sz="4" w:space="0" w:color="auto"/>
              <w:right w:val="nil"/>
            </w:tcBorders>
            <w:shd w:val="clear" w:color="auto" w:fill="FFFFFF"/>
            <w:vAlign w:val="center"/>
          </w:tcPr>
          <w:p w14:paraId="14DDAF78" w14:textId="77777777" w:rsidR="00795E60" w:rsidRDefault="00F56376">
            <w:pPr>
              <w:pStyle w:val="Tabellcell"/>
              <w:jc w:val="right"/>
            </w:pPr>
            <w:r>
              <w:rPr>
                <w:b/>
              </w:rPr>
              <w:t>0,9</w:t>
            </w:r>
          </w:p>
        </w:tc>
      </w:tr>
      <w:tr w:rsidR="00FC2AD8" w14:paraId="1CB8BA85" w14:textId="77777777">
        <w:trPr>
          <w:cantSplit w:val="0"/>
        </w:trPr>
        <w:tc>
          <w:tcPr>
            <w:tcW w:w="9634" w:type="dxa"/>
            <w:gridSpan w:val="10"/>
            <w:tcBorders>
              <w:top w:val="single" w:sz="4" w:space="0" w:color="auto"/>
              <w:left w:val="nil"/>
              <w:bottom w:val="nil"/>
              <w:right w:val="nil"/>
            </w:tcBorders>
            <w:shd w:val="clear" w:color="auto" w:fill="FFFFFF"/>
            <w:vAlign w:val="center"/>
          </w:tcPr>
          <w:p w14:paraId="1F766977" w14:textId="77777777" w:rsidR="00795E60" w:rsidRDefault="00F56376">
            <w:pPr>
              <w:pStyle w:val="Tabellcell"/>
            </w:pPr>
            <w:r>
              <w:rPr>
                <w:i/>
              </w:rPr>
              <w:t>Definition: Årsarbetare exkl</w:t>
            </w:r>
            <w:r>
              <w:rPr>
                <w:i/>
              </w:rPr>
              <w:t xml:space="preserve"> tjänstlediga utgår från sysselsättningsgrad (utifrån anställningsavtal) men exkluderar även tjänstledighet. En person som är anställd på 100% men som är tjänstledig 100% räknas som 0 årsarbetare. Är personen anställd på 100% och tjänstledig 50% räknas personen som 0,5 årsarbetare. Med tjänstledighet avses: Tjänstlediga för studier, Tjänstlediga utan lön, Föräldralediga, Offentliga uppdrag och Särskild angelägenhet.</w:t>
            </w:r>
          </w:p>
        </w:tc>
      </w:tr>
    </w:tbl>
    <w:p w14:paraId="75D8544F" w14:textId="77777777" w:rsidR="00795E60" w:rsidRDefault="00F56376">
      <w:pPr>
        <w:pStyle w:val="BodyText"/>
        <w:widowControl w:val="0"/>
        <w:spacing w:before="160"/>
      </w:pPr>
      <w:r>
        <w:t xml:space="preserve">Förvaltningen har under 2025 fortsatt att bibehålla en restriktiv hållning om än </w:t>
      </w:r>
      <w:r>
        <w:t>mildare än under föregående år där förvaltningschef är den som fortsatt beslutar om rekrytering.</w:t>
      </w:r>
    </w:p>
    <w:p w14:paraId="07274C4B" w14:textId="77777777" w:rsidR="00795E60" w:rsidRDefault="00F56376">
      <w:pPr>
        <w:pStyle w:val="Rubrik2"/>
      </w:pPr>
      <w:bookmarkStart w:id="15" w:name="_Toc220678305"/>
      <w:r>
        <w:lastRenderedPageBreak/>
        <w:t>Sjukfrånvaro</w:t>
      </w:r>
      <w:bookmarkEnd w:id="15"/>
    </w:p>
    <w:tbl>
      <w:tblPr>
        <w:tblStyle w:val="Tabellrutnt"/>
        <w:tblOverlap w:val="never"/>
        <w:tblW w:w="0" w:type="auto"/>
        <w:tblLayout w:type="fixed"/>
        <w:tblLook w:val="04A0" w:firstRow="1" w:lastRow="0" w:firstColumn="1" w:lastColumn="0" w:noHBand="0" w:noVBand="1"/>
      </w:tblPr>
      <w:tblGrid>
        <w:gridCol w:w="1814"/>
        <w:gridCol w:w="907"/>
        <w:gridCol w:w="850"/>
        <w:gridCol w:w="850"/>
        <w:gridCol w:w="907"/>
        <w:gridCol w:w="850"/>
        <w:gridCol w:w="850"/>
        <w:gridCol w:w="907"/>
        <w:gridCol w:w="850"/>
        <w:gridCol w:w="850"/>
      </w:tblGrid>
      <w:tr w:rsidR="00FC2AD8" w14:paraId="2DA9CA1B" w14:textId="77777777">
        <w:trPr>
          <w:cantSplit w:val="0"/>
          <w:tblHeader/>
        </w:trPr>
        <w:tc>
          <w:tcPr>
            <w:tcW w:w="1814" w:type="dxa"/>
            <w:tcBorders>
              <w:top w:val="single" w:sz="4" w:space="0" w:color="auto"/>
              <w:left w:val="nil"/>
              <w:bottom w:val="single" w:sz="4" w:space="0" w:color="auto"/>
              <w:right w:val="single" w:sz="4" w:space="0" w:color="auto"/>
            </w:tcBorders>
            <w:shd w:val="clear" w:color="auto" w:fill="E1E9F2"/>
            <w:vAlign w:val="center"/>
          </w:tcPr>
          <w:p w14:paraId="09A69AD0" w14:textId="77777777" w:rsidR="00795E60" w:rsidRDefault="00F56376">
            <w:pPr>
              <w:pStyle w:val="Tabellcell"/>
            </w:pPr>
            <w:r>
              <w:rPr>
                <w:b/>
              </w:rPr>
              <w:t>Kategori</w:t>
            </w:r>
          </w:p>
        </w:tc>
        <w:tc>
          <w:tcPr>
            <w:tcW w:w="2607" w:type="dxa"/>
            <w:gridSpan w:val="3"/>
            <w:tcBorders>
              <w:top w:val="single" w:sz="4" w:space="0" w:color="auto"/>
              <w:left w:val="single" w:sz="4" w:space="0" w:color="auto"/>
              <w:bottom w:val="single" w:sz="4" w:space="0" w:color="auto"/>
              <w:right w:val="single" w:sz="4" w:space="0" w:color="auto"/>
            </w:tcBorders>
            <w:shd w:val="clear" w:color="auto" w:fill="E1E9F2"/>
            <w:vAlign w:val="center"/>
          </w:tcPr>
          <w:p w14:paraId="578DCE91" w14:textId="77777777" w:rsidR="00795E60" w:rsidRDefault="00F56376">
            <w:pPr>
              <w:pStyle w:val="Tabellcell"/>
              <w:jc w:val="center"/>
            </w:pPr>
            <w:r>
              <w:rPr>
                <w:b/>
              </w:rPr>
              <w:t>Utfall jan - dec 2025</w:t>
            </w:r>
          </w:p>
        </w:tc>
        <w:tc>
          <w:tcPr>
            <w:tcW w:w="2607" w:type="dxa"/>
            <w:gridSpan w:val="3"/>
            <w:tcBorders>
              <w:top w:val="single" w:sz="4" w:space="0" w:color="auto"/>
              <w:left w:val="single" w:sz="4" w:space="0" w:color="auto"/>
              <w:bottom w:val="single" w:sz="4" w:space="0" w:color="auto"/>
              <w:right w:val="single" w:sz="4" w:space="0" w:color="auto"/>
            </w:tcBorders>
            <w:shd w:val="clear" w:color="auto" w:fill="E1E9F2"/>
            <w:vAlign w:val="center"/>
          </w:tcPr>
          <w:p w14:paraId="763A6292" w14:textId="77777777" w:rsidR="00795E60" w:rsidRDefault="00F56376">
            <w:pPr>
              <w:pStyle w:val="Tabellcell"/>
              <w:jc w:val="center"/>
            </w:pPr>
            <w:r>
              <w:rPr>
                <w:b/>
              </w:rPr>
              <w:t>Utfall jan - dec 2024</w:t>
            </w:r>
          </w:p>
        </w:tc>
        <w:tc>
          <w:tcPr>
            <w:tcW w:w="2607" w:type="dxa"/>
            <w:gridSpan w:val="3"/>
            <w:tcBorders>
              <w:top w:val="single" w:sz="4" w:space="0" w:color="auto"/>
              <w:left w:val="single" w:sz="4" w:space="0" w:color="auto"/>
              <w:bottom w:val="single" w:sz="4" w:space="0" w:color="auto"/>
              <w:right w:val="nil"/>
            </w:tcBorders>
            <w:shd w:val="clear" w:color="auto" w:fill="E1E9F2"/>
            <w:vAlign w:val="center"/>
          </w:tcPr>
          <w:p w14:paraId="38E46956" w14:textId="77777777" w:rsidR="00795E60" w:rsidRDefault="00F56376">
            <w:pPr>
              <w:pStyle w:val="Tabellcell"/>
              <w:jc w:val="center"/>
            </w:pPr>
            <w:r>
              <w:rPr>
                <w:b/>
              </w:rPr>
              <w:t>Förändring</w:t>
            </w:r>
          </w:p>
        </w:tc>
      </w:tr>
      <w:tr w:rsidR="00FC2AD8" w14:paraId="13F3449E" w14:textId="77777777">
        <w:trPr>
          <w:cantSplit w:val="0"/>
        </w:trPr>
        <w:tc>
          <w:tcPr>
            <w:tcW w:w="1814" w:type="dxa"/>
            <w:tcBorders>
              <w:top w:val="single" w:sz="4" w:space="0" w:color="auto"/>
              <w:left w:val="nil"/>
              <w:bottom w:val="single" w:sz="4" w:space="0" w:color="auto"/>
              <w:right w:val="single" w:sz="4" w:space="0" w:color="auto"/>
            </w:tcBorders>
            <w:shd w:val="clear" w:color="auto" w:fill="FFFFFF"/>
            <w:tcMar>
              <w:top w:w="0" w:type="dxa"/>
              <w:left w:w="0" w:type="dxa"/>
              <w:bottom w:w="0" w:type="dxa"/>
              <w:right w:w="0" w:type="dxa"/>
            </w:tcMar>
            <w:vAlign w:val="center"/>
          </w:tcPr>
          <w:p w14:paraId="65BB3AAF" w14:textId="77777777" w:rsidR="00795E60" w:rsidRDefault="00795E60">
            <w:pPr>
              <w:pStyle w:val="Tabellcell"/>
            </w:pP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AC73359" w14:textId="77777777" w:rsidR="00795E60" w:rsidRDefault="00F56376">
            <w:pPr>
              <w:pStyle w:val="Tabellcell"/>
              <w:jc w:val="center"/>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709CD20" w14:textId="77777777" w:rsidR="00795E60" w:rsidRDefault="00F56376">
            <w:pPr>
              <w:pStyle w:val="Tabellcell"/>
              <w:jc w:val="center"/>
            </w:pPr>
            <w:r>
              <w:rPr>
                <w:b/>
              </w:rPr>
              <w:t>Män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E0F1EC4" w14:textId="77777777" w:rsidR="00795E60" w:rsidRDefault="00F56376">
            <w:pPr>
              <w:pStyle w:val="Tabellcell"/>
              <w:jc w:val="center"/>
            </w:pPr>
            <w:r>
              <w:rPr>
                <w:b/>
              </w:rPr>
              <w:t>Totalt</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651C0C62" w14:textId="77777777" w:rsidR="00795E60" w:rsidRDefault="00F56376">
            <w:pPr>
              <w:pStyle w:val="Tabellcell"/>
              <w:jc w:val="center"/>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013FAE0" w14:textId="77777777" w:rsidR="00795E60" w:rsidRDefault="00F56376">
            <w:pPr>
              <w:pStyle w:val="Tabellcell"/>
              <w:jc w:val="center"/>
            </w:pPr>
            <w:r>
              <w:rPr>
                <w:b/>
              </w:rPr>
              <w:t>Män</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98C0CBD" w14:textId="77777777" w:rsidR="00795E60" w:rsidRDefault="00F56376">
            <w:pPr>
              <w:pStyle w:val="Tabellcell"/>
              <w:jc w:val="center"/>
            </w:pPr>
            <w:r>
              <w:rPr>
                <w:b/>
              </w:rPr>
              <w:t>Totalt</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CD16C54" w14:textId="77777777" w:rsidR="00795E60" w:rsidRDefault="00F56376">
            <w:pPr>
              <w:pStyle w:val="Tabellcell"/>
              <w:jc w:val="center"/>
            </w:pPr>
            <w:r>
              <w:rPr>
                <w:b/>
              </w:rPr>
              <w:t>Kvinnor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935A673" w14:textId="77777777" w:rsidR="00795E60" w:rsidRDefault="00F56376">
            <w:pPr>
              <w:pStyle w:val="Tabellcell"/>
              <w:jc w:val="center"/>
            </w:pPr>
            <w:r>
              <w:rPr>
                <w:b/>
              </w:rPr>
              <w:t>Män</w:t>
            </w:r>
          </w:p>
        </w:tc>
        <w:tc>
          <w:tcPr>
            <w:tcW w:w="850" w:type="dxa"/>
            <w:tcBorders>
              <w:top w:val="single" w:sz="4" w:space="0" w:color="auto"/>
              <w:left w:val="single" w:sz="4" w:space="0" w:color="auto"/>
              <w:bottom w:val="single" w:sz="4" w:space="0" w:color="auto"/>
              <w:right w:val="nil"/>
            </w:tcBorders>
            <w:shd w:val="clear" w:color="auto" w:fill="FFFFFF"/>
            <w:vAlign w:val="center"/>
          </w:tcPr>
          <w:p w14:paraId="1A3F92E6" w14:textId="77777777" w:rsidR="00795E60" w:rsidRDefault="00F56376">
            <w:pPr>
              <w:pStyle w:val="Tabellcell"/>
              <w:jc w:val="center"/>
            </w:pPr>
            <w:r>
              <w:rPr>
                <w:b/>
              </w:rPr>
              <w:t>Totalt</w:t>
            </w:r>
          </w:p>
        </w:tc>
      </w:tr>
      <w:tr w:rsidR="00FC2AD8" w14:paraId="57338D4C" w14:textId="77777777">
        <w:trPr>
          <w:cantSplit w:val="0"/>
        </w:trPr>
        <w:tc>
          <w:tcPr>
            <w:tcW w:w="1814" w:type="dxa"/>
            <w:tcBorders>
              <w:top w:val="single" w:sz="4" w:space="0" w:color="auto"/>
              <w:left w:val="nil"/>
              <w:bottom w:val="single" w:sz="4" w:space="0" w:color="auto"/>
              <w:right w:val="single" w:sz="4" w:space="0" w:color="auto"/>
            </w:tcBorders>
            <w:shd w:val="clear" w:color="auto" w:fill="FFFFFF"/>
            <w:vAlign w:val="center"/>
          </w:tcPr>
          <w:p w14:paraId="769C2AAD" w14:textId="77777777" w:rsidR="00795E60" w:rsidRDefault="00F56376">
            <w:pPr>
              <w:pStyle w:val="Tabellcell"/>
            </w:pPr>
            <w:r>
              <w:t>Sjukfrånvaro, korttidsfrånvaro %</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601E2169" w14:textId="77777777" w:rsidR="00795E60" w:rsidRDefault="00F56376">
            <w:pPr>
              <w:pStyle w:val="Tabellcell"/>
              <w:jc w:val="right"/>
            </w:pPr>
            <w:r>
              <w:t>1,7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EF4AF01" w14:textId="77777777" w:rsidR="00795E60" w:rsidRDefault="00F56376">
            <w:pPr>
              <w:pStyle w:val="Tabellcell"/>
              <w:jc w:val="right"/>
            </w:pPr>
            <w:r>
              <w:t>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EAAEDB" w14:textId="77777777" w:rsidR="00795E60" w:rsidRDefault="00F56376">
            <w:pPr>
              <w:pStyle w:val="Tabellcell"/>
              <w:jc w:val="right"/>
            </w:pPr>
            <w:r>
              <w:t>1,6</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542B3D7" w14:textId="77777777" w:rsidR="00795E60" w:rsidRDefault="00F56376">
            <w:pPr>
              <w:pStyle w:val="Tabellcell"/>
              <w:jc w:val="right"/>
            </w:pPr>
            <w:r>
              <w:t>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AFA265C" w14:textId="77777777" w:rsidR="00795E60" w:rsidRDefault="00F56376">
            <w:pPr>
              <w:pStyle w:val="Tabellcell"/>
              <w:jc w:val="right"/>
            </w:pPr>
            <w:r>
              <w:t>1,4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99E566F" w14:textId="77777777" w:rsidR="00795E60" w:rsidRDefault="00F56376">
            <w:pPr>
              <w:pStyle w:val="Tabellcell"/>
              <w:jc w:val="right"/>
            </w:pPr>
            <w:r>
              <w:t>1,7</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2A66D750" w14:textId="77777777" w:rsidR="00795E60" w:rsidRDefault="00F56376">
            <w:pPr>
              <w:pStyle w:val="Tabellcell"/>
              <w:jc w:val="right"/>
            </w:pPr>
            <w:r>
              <w:t>-0,2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5EDC9F" w14:textId="77777777" w:rsidR="00795E60" w:rsidRDefault="00F56376">
            <w:pPr>
              <w:pStyle w:val="Tabellcell"/>
              <w:jc w:val="right"/>
            </w:pPr>
            <w:r>
              <w:t>0,1</w:t>
            </w:r>
          </w:p>
        </w:tc>
        <w:tc>
          <w:tcPr>
            <w:tcW w:w="850" w:type="dxa"/>
            <w:tcBorders>
              <w:top w:val="single" w:sz="4" w:space="0" w:color="auto"/>
              <w:left w:val="single" w:sz="4" w:space="0" w:color="auto"/>
              <w:bottom w:val="single" w:sz="4" w:space="0" w:color="auto"/>
              <w:right w:val="nil"/>
            </w:tcBorders>
            <w:shd w:val="clear" w:color="auto" w:fill="FFFFFF"/>
            <w:vAlign w:val="center"/>
          </w:tcPr>
          <w:p w14:paraId="4042A152" w14:textId="77777777" w:rsidR="00795E60" w:rsidRDefault="00F56376">
            <w:pPr>
              <w:pStyle w:val="Tabellcell"/>
              <w:jc w:val="right"/>
            </w:pPr>
            <w:r>
              <w:t>-0,1</w:t>
            </w:r>
          </w:p>
        </w:tc>
      </w:tr>
      <w:tr w:rsidR="00FC2AD8" w14:paraId="0201BFBF" w14:textId="77777777">
        <w:trPr>
          <w:cantSplit w:val="0"/>
        </w:trPr>
        <w:tc>
          <w:tcPr>
            <w:tcW w:w="1814" w:type="dxa"/>
            <w:tcBorders>
              <w:top w:val="single" w:sz="4" w:space="0" w:color="auto"/>
              <w:left w:val="nil"/>
              <w:bottom w:val="single" w:sz="4" w:space="0" w:color="auto"/>
              <w:right w:val="single" w:sz="4" w:space="0" w:color="auto"/>
            </w:tcBorders>
            <w:shd w:val="clear" w:color="auto" w:fill="FFFFFF"/>
            <w:vAlign w:val="center"/>
          </w:tcPr>
          <w:p w14:paraId="6FC07386" w14:textId="77777777" w:rsidR="00795E60" w:rsidRDefault="00F56376">
            <w:pPr>
              <w:pStyle w:val="Tabellcell"/>
            </w:pPr>
            <w:r>
              <w:t>Sjukfrånvaro, långtidsfrånvaro %</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51CD07E" w14:textId="77777777" w:rsidR="00795E60" w:rsidRDefault="00F56376">
            <w:pPr>
              <w:pStyle w:val="Tabellcell"/>
              <w:jc w:val="right"/>
            </w:pPr>
            <w:r>
              <w:t>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775281" w14:textId="77777777" w:rsidR="00795E60" w:rsidRDefault="00F56376">
            <w:pPr>
              <w:pStyle w:val="Tabellcell"/>
              <w:jc w:val="right"/>
            </w:pPr>
            <w:r>
              <w:t>1,8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A50BCF" w14:textId="77777777" w:rsidR="00795E60" w:rsidRDefault="00F56376">
            <w:pPr>
              <w:pStyle w:val="Tabellcell"/>
              <w:jc w:val="right"/>
            </w:pPr>
            <w:r>
              <w:t>2,6</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07C2E23D" w14:textId="77777777" w:rsidR="00795E60" w:rsidRDefault="00F56376">
            <w:pPr>
              <w:pStyle w:val="Tabellcell"/>
              <w:jc w:val="right"/>
            </w:pPr>
            <w:r>
              <w:t>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A6DF010" w14:textId="77777777" w:rsidR="00795E60" w:rsidRDefault="00F56376">
            <w:pPr>
              <w:pStyle w:val="Tabellcell"/>
              <w:jc w:val="right"/>
            </w:pPr>
            <w:r>
              <w:t>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9F6E9A" w14:textId="77777777" w:rsidR="00795E60" w:rsidRDefault="00F56376">
            <w:pPr>
              <w:pStyle w:val="Tabellcell"/>
              <w:jc w:val="right"/>
            </w:pPr>
            <w:r>
              <w:t>2,7</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6D62ED26" w14:textId="77777777" w:rsidR="00795E60" w:rsidRDefault="00F56376">
            <w:pPr>
              <w:pStyle w:val="Tabellcell"/>
              <w:jc w:val="right"/>
            </w:pPr>
            <w:r>
              <w:t>-0,1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730B788" w14:textId="77777777" w:rsidR="00795E60" w:rsidRDefault="00F56376">
            <w:pPr>
              <w:pStyle w:val="Tabellcell"/>
              <w:jc w:val="right"/>
            </w:pPr>
            <w:r>
              <w:t>-0,1</w:t>
            </w:r>
          </w:p>
        </w:tc>
        <w:tc>
          <w:tcPr>
            <w:tcW w:w="850" w:type="dxa"/>
            <w:tcBorders>
              <w:top w:val="single" w:sz="4" w:space="0" w:color="auto"/>
              <w:left w:val="single" w:sz="4" w:space="0" w:color="auto"/>
              <w:bottom w:val="single" w:sz="4" w:space="0" w:color="auto"/>
              <w:right w:val="nil"/>
            </w:tcBorders>
            <w:shd w:val="clear" w:color="auto" w:fill="FFFFFF"/>
            <w:vAlign w:val="center"/>
          </w:tcPr>
          <w:p w14:paraId="72FD7F18" w14:textId="77777777" w:rsidR="00795E60" w:rsidRDefault="00F56376">
            <w:pPr>
              <w:pStyle w:val="Tabellcell"/>
              <w:jc w:val="right"/>
            </w:pPr>
            <w:r>
              <w:t>-0,1</w:t>
            </w:r>
          </w:p>
        </w:tc>
      </w:tr>
      <w:tr w:rsidR="00FC2AD8" w14:paraId="4569F605" w14:textId="77777777">
        <w:trPr>
          <w:cantSplit w:val="0"/>
        </w:trPr>
        <w:tc>
          <w:tcPr>
            <w:tcW w:w="1814" w:type="dxa"/>
            <w:tcBorders>
              <w:top w:val="single" w:sz="4" w:space="0" w:color="auto"/>
              <w:left w:val="nil"/>
              <w:bottom w:val="single" w:sz="4" w:space="0" w:color="auto"/>
              <w:right w:val="single" w:sz="4" w:space="0" w:color="auto"/>
            </w:tcBorders>
            <w:shd w:val="clear" w:color="auto" w:fill="FFFFFF"/>
            <w:vAlign w:val="center"/>
          </w:tcPr>
          <w:p w14:paraId="1825B7F7" w14:textId="77777777" w:rsidR="00795E60" w:rsidRDefault="00F56376">
            <w:pPr>
              <w:pStyle w:val="Tabellcell"/>
            </w:pPr>
            <w:r>
              <w:t>Sjukfrånvaro                totalt %</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7A0F2D56" w14:textId="77777777" w:rsidR="00795E60" w:rsidRDefault="00F56376">
            <w:pPr>
              <w:pStyle w:val="Tabellcell"/>
              <w:jc w:val="right"/>
            </w:pPr>
            <w:r>
              <w:t>4,7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4B2C56" w14:textId="77777777" w:rsidR="00795E60" w:rsidRDefault="00F56376">
            <w:pPr>
              <w:pStyle w:val="Tabellcell"/>
              <w:jc w:val="right"/>
            </w:pPr>
            <w:r>
              <w:t>3,2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F0AEE4" w14:textId="77777777" w:rsidR="00795E60" w:rsidRDefault="00F56376">
            <w:pPr>
              <w:pStyle w:val="Tabellcell"/>
              <w:jc w:val="right"/>
            </w:pPr>
            <w:r>
              <w:t>4,2</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D723DE3" w14:textId="77777777" w:rsidR="00795E60" w:rsidRDefault="00F56376">
            <w:pPr>
              <w:pStyle w:val="Tabellcell"/>
              <w:jc w:val="right"/>
            </w:pPr>
            <w:r>
              <w:t>5,1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2BD1E3C" w14:textId="77777777" w:rsidR="00795E60" w:rsidRDefault="00F56376">
            <w:pPr>
              <w:pStyle w:val="Tabellcell"/>
              <w:jc w:val="right"/>
            </w:pPr>
            <w:r>
              <w:t>3,3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C3DA570" w14:textId="77777777" w:rsidR="00795E60" w:rsidRDefault="00F56376">
            <w:pPr>
              <w:pStyle w:val="Tabellcell"/>
              <w:jc w:val="right"/>
            </w:pPr>
            <w:r>
              <w:t>4,5</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540071A9" w14:textId="77777777" w:rsidR="00795E60" w:rsidRDefault="00F56376">
            <w:pPr>
              <w:pStyle w:val="Tabellcell"/>
              <w:jc w:val="right"/>
            </w:pPr>
            <w:r>
              <w:t>-0,4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15452D" w14:textId="77777777" w:rsidR="00795E60" w:rsidRDefault="00F56376">
            <w:pPr>
              <w:pStyle w:val="Tabellcell"/>
              <w:jc w:val="right"/>
            </w:pPr>
            <w:r>
              <w:t>-0,1</w:t>
            </w:r>
          </w:p>
        </w:tc>
        <w:tc>
          <w:tcPr>
            <w:tcW w:w="850" w:type="dxa"/>
            <w:tcBorders>
              <w:top w:val="single" w:sz="4" w:space="0" w:color="auto"/>
              <w:left w:val="single" w:sz="4" w:space="0" w:color="auto"/>
              <w:bottom w:val="single" w:sz="4" w:space="0" w:color="auto"/>
              <w:right w:val="nil"/>
            </w:tcBorders>
            <w:shd w:val="clear" w:color="auto" w:fill="FFFFFF"/>
            <w:vAlign w:val="center"/>
          </w:tcPr>
          <w:p w14:paraId="3B0B8E96" w14:textId="77777777" w:rsidR="00795E60" w:rsidRDefault="00F56376">
            <w:pPr>
              <w:pStyle w:val="Tabellcell"/>
              <w:jc w:val="right"/>
            </w:pPr>
            <w:r>
              <w:t>-0,3</w:t>
            </w:r>
          </w:p>
        </w:tc>
      </w:tr>
    </w:tbl>
    <w:p w14:paraId="0D0FFC61" w14:textId="77777777" w:rsidR="00795E60" w:rsidRDefault="00F56376">
      <w:pPr>
        <w:pStyle w:val="BodyText"/>
        <w:widowControl w:val="0"/>
        <w:spacing w:before="160"/>
      </w:pPr>
      <w:r>
        <w:t xml:space="preserve">Sjukfrånvaron inom </w:t>
      </w:r>
      <w:r>
        <w:t>kulturnämnden redovisas utifrån underlag som inbegriper hela förvaltningen.</w:t>
      </w:r>
    </w:p>
    <w:p w14:paraId="3951D18E" w14:textId="77777777" w:rsidR="00795E60" w:rsidRDefault="00F56376">
      <w:pPr>
        <w:pStyle w:val="BodyText"/>
        <w:widowControl w:val="0"/>
      </w:pPr>
      <w:r>
        <w:t>Sjukfrånvaron har ifrån föregående år sjunkit. Under året har fokus på handlingsplaner kopplat till medarbetarenkäten och aktivare systematiskt arbetsmiljöarbete givit ett positivt resultat på helårets siffror avseende sjukfrånvaron.</w:t>
      </w:r>
    </w:p>
    <w:p w14:paraId="12E116E5" w14:textId="77777777" w:rsidR="00795E60" w:rsidRDefault="00F56376">
      <w:pPr>
        <w:pStyle w:val="Rubrik1"/>
      </w:pPr>
      <w:bookmarkStart w:id="16" w:name="_Toc220678306"/>
      <w:r>
        <w:t>Framtida utmaningar</w:t>
      </w:r>
      <w:bookmarkEnd w:id="16"/>
    </w:p>
    <w:p w14:paraId="60380EA7" w14:textId="77777777" w:rsidR="00795E60" w:rsidRDefault="00F56376">
      <w:pPr>
        <w:pStyle w:val="BodyText"/>
        <w:widowControl w:val="0"/>
        <w:numPr>
          <w:ilvl w:val="0"/>
          <w:numId w:val="19"/>
        </w:numPr>
        <w:spacing w:after="0"/>
      </w:pPr>
      <w:r>
        <w:t>Den ekonomiska utvecklingen och ökade klyftor</w:t>
      </w:r>
    </w:p>
    <w:p w14:paraId="61971719" w14:textId="77777777" w:rsidR="00795E60" w:rsidRDefault="00F56376">
      <w:pPr>
        <w:pStyle w:val="BodyText"/>
        <w:widowControl w:val="0"/>
        <w:numPr>
          <w:ilvl w:val="0"/>
          <w:numId w:val="19"/>
        </w:numPr>
        <w:spacing w:after="0"/>
      </w:pPr>
      <w:r>
        <w:t>Kulturens och civilsamhällets oberoende</w:t>
      </w:r>
    </w:p>
    <w:p w14:paraId="7C5E12A3" w14:textId="77777777" w:rsidR="00795E60" w:rsidRDefault="00F56376">
      <w:pPr>
        <w:pStyle w:val="BodyText"/>
        <w:widowControl w:val="0"/>
        <w:numPr>
          <w:ilvl w:val="0"/>
          <w:numId w:val="19"/>
        </w:numPr>
        <w:spacing w:after="0"/>
      </w:pPr>
      <w:r>
        <w:t>Behovet av nya samverkanslösningar inom civilsamhället</w:t>
      </w:r>
    </w:p>
    <w:p w14:paraId="3FFE0162" w14:textId="77777777" w:rsidR="00795E60" w:rsidRDefault="00F56376">
      <w:pPr>
        <w:pStyle w:val="BodyText"/>
        <w:widowControl w:val="0"/>
        <w:numPr>
          <w:ilvl w:val="0"/>
          <w:numId w:val="19"/>
        </w:numPr>
        <w:spacing w:after="0"/>
      </w:pPr>
      <w:r>
        <w:t>Den digitala utvecklingen</w:t>
      </w:r>
    </w:p>
    <w:p w14:paraId="0E87E459" w14:textId="77777777" w:rsidR="00795E60" w:rsidRDefault="00F56376">
      <w:pPr>
        <w:pStyle w:val="BodyText"/>
        <w:widowControl w:val="0"/>
        <w:numPr>
          <w:ilvl w:val="0"/>
          <w:numId w:val="19"/>
        </w:numPr>
      </w:pPr>
      <w:r>
        <w:t>Internationalisering</w:t>
      </w:r>
    </w:p>
    <w:p w14:paraId="0E4FD259" w14:textId="77777777" w:rsidR="00795E60" w:rsidRDefault="00F56376">
      <w:pPr>
        <w:pStyle w:val="BodyText"/>
        <w:widowControl w:val="0"/>
      </w:pPr>
      <w:r>
        <w:rPr>
          <w:b/>
        </w:rPr>
        <w:t>Den ekonomiska utvecklingen och ökade klyftor</w:t>
      </w:r>
    </w:p>
    <w:p w14:paraId="274553A9" w14:textId="77777777" w:rsidR="00795E60" w:rsidRDefault="00F56376">
      <w:pPr>
        <w:pStyle w:val="BodyText"/>
        <w:widowControl w:val="0"/>
      </w:pPr>
      <w:r>
        <w:t>I takt med en krympande offentlig ekonomi ser vi att civilsamhället och den sociala ekonomin får ta en allt mer framträdande roll som alternativ serviceproducent både i städer och på landsbygd. Civilsamhället uppmärksammar samhällets ökade klyftor och polarisering bland annat genom ett ökat tryck hos organisationer som stödjer människor i utanförskap. Ett minskat offentligt stöd till civilsamhället och föreningar riskerar att organisationer inte överlever och därmed inte kan fånga upp grupper, fungera som d</w:t>
      </w:r>
      <w:r>
        <w:t>emokratiskola och bidra till samhällsutvecklingen. Neddragningarna av statsbidraget till folkbildningen innebär en utmaning för civilsamhällets organisering, demokrati och samhällsutvecklingen.</w:t>
      </w:r>
    </w:p>
    <w:p w14:paraId="29A73E22" w14:textId="77777777" w:rsidR="00795E60" w:rsidRDefault="00F56376">
      <w:pPr>
        <w:pStyle w:val="BodyText"/>
        <w:widowControl w:val="0"/>
      </w:pPr>
      <w:r>
        <w:t>Det pågår politiska diskussioner kring kulturens finansiering samt det regionala, kommunala och statliga ansvaret. På nationell nivå genomförs neddragningar inom folkbildningen och kultursamverkansmodellen och det sker även neddragningar inom regioner och kommuner. Den ekonomiska situationen hos flera av de aktörer som Region Örebro län finansierar är kritisk. Ekonomiska neddragningar eller obefintliga uppräkningar leder till att kulturverksamheter utarmas. Det kan resultera i färre arbetstillfällen för det</w:t>
      </w:r>
      <w:r>
        <w:t xml:space="preserve"> professionella kulturlivet, minskad möjlighet att bredda kulturdeltagandet och ökade kostnader för länets invånare att ta del av kultur. Den ekonomiska situationen innebär också att det exempelvis saknas resurser för kulturaktörerna att arbeta med beredskapsfrågan, digitisering av kulturarvets samlingar och digitaliserade verksamheter. Därutöver blir det svårare att ta del av folkbildning och kultur i hela länet. Det kan handla om ett begränsat utbud och indragen verksamhet inom studieförbund, föreningsliv</w:t>
      </w:r>
      <w:r>
        <w:t xml:space="preserve"> och kultur utanför länets centralorter.</w:t>
      </w:r>
    </w:p>
    <w:p w14:paraId="100759A0" w14:textId="77777777" w:rsidR="00795E60" w:rsidRDefault="00F56376">
      <w:pPr>
        <w:pStyle w:val="BodyText"/>
        <w:widowControl w:val="0"/>
      </w:pPr>
      <w:r>
        <w:rPr>
          <w:b/>
        </w:rPr>
        <w:lastRenderedPageBreak/>
        <w:t>Kulturens och civilsamhällets oberoende</w:t>
      </w:r>
    </w:p>
    <w:p w14:paraId="0505F63E" w14:textId="77777777" w:rsidR="00795E60" w:rsidRDefault="00F56376">
      <w:pPr>
        <w:pStyle w:val="BodyText"/>
        <w:widowControl w:val="0"/>
      </w:pPr>
      <w:r>
        <w:t>Föreningsstöd och stöd till studieförbunden ger möjligheter att finnas till och bedriva sin verksamhet. Organisationerna och deras medlemmar ska ha möjlighet att självständigt bedriva sin verksamhet utan obefogad kontroll eller inblandning av offentliga aktörer. Det offentliga stödet får inte äventyra principen om självständighet och oberoende samtidigt som det är viktigt att stödet omgärdas av öppenhet, insyn och transparens. Det måste finnas ett förtroende mellan offentliga aktörer och civilsamhället.</w:t>
      </w:r>
    </w:p>
    <w:p w14:paraId="50C454F5" w14:textId="77777777" w:rsidR="00795E60" w:rsidRDefault="00F56376">
      <w:pPr>
        <w:pStyle w:val="BodyText"/>
        <w:widowControl w:val="0"/>
      </w:pPr>
      <w:r>
        <w:t>Ett fritt konst- och kulturliv är ett uttryck för en fungerande demokrati. Det handlar om rätten att producera, sprida och ta del av all slags konst och kultur. I vår samtid finns flera exempel på att demokratin försvagas och den konstnärliga friheten utmanas. Kultur och kulturuttryck skapar resiliens i ett samhälle, därför är kulturens förutsättningar viktiga att stimulera i tider av fred för att kunna bibehållas i tider av kris och krig. Region Örebro län har en viktig roll i att tillsammans med länets ko</w:t>
      </w:r>
      <w:r>
        <w:t>mmuner, den nationella nivån och civilsamhället upprätthålla och utveckla en väl fungerande kulturell infrastruktur.</w:t>
      </w:r>
    </w:p>
    <w:p w14:paraId="16FC09D5" w14:textId="77777777" w:rsidR="00795E60" w:rsidRDefault="00F56376">
      <w:pPr>
        <w:pStyle w:val="BodyText"/>
        <w:widowControl w:val="0"/>
      </w:pPr>
      <w:r>
        <w:rPr>
          <w:b/>
        </w:rPr>
        <w:t>Behovet av nya samverkanslösningar med civilsamhället</w:t>
      </w:r>
    </w:p>
    <w:p w14:paraId="5E11E726" w14:textId="77777777" w:rsidR="00795E60" w:rsidRDefault="00F56376">
      <w:pPr>
        <w:pStyle w:val="BodyText"/>
        <w:widowControl w:val="0"/>
      </w:pPr>
      <w:r>
        <w:t>Behovet av att utveckla och testa nya lösningar på samhällsutmaningarna är stort. Här spelar civilsamhället och den sociala ekonomin (inklusive sociala företag) en allt viktigare roll. Det finns ingen standardlösning att använda eftersom varje kommun i länet är unik och har egna utmaningar. Men genom att lokalt utveckla nya lösningar på samhällsutmaningar – sociala innovationer - kan det offentligt finansierade välfärdssystemet utvecklas. Ett område som har stor potential är samverkan med de sociala företag</w:t>
      </w:r>
      <w:r>
        <w:t>en. De är oftast civilsamhällesaktörer vars främsta syfte är att bidra med samhällsnytta till en eller flera av de komplexa utmaningar vi står inför. Samverkan med sociala företag, och civilsamhället i rollen som serviceleverantör, är en ny arena för offentlig sektor, en arena som skapar nya möjligheter och nya lösningar. Upphandling är därför ett viktigt verktyg och utvecklingsområde.</w:t>
      </w:r>
    </w:p>
    <w:p w14:paraId="6FDD948A" w14:textId="77777777" w:rsidR="00795E60" w:rsidRDefault="00F56376">
      <w:pPr>
        <w:pStyle w:val="BodyText"/>
        <w:widowControl w:val="0"/>
      </w:pPr>
      <w:r>
        <w:t>Deltagande i föreningsaktiviteter är en skyddsfaktor för barn och unga när det gäller ohälsa. Föreningslivet innebär också att fler vuxna finns runt omkring barn och unga i riskzoner. Föreningsliv och studieförbundets verksamhet är också viktiga för att minska ofrivillig ensamhet, inte minst hos äldre. Civilsamhället är därmed en kraft som stärker folkhälsan.</w:t>
      </w:r>
    </w:p>
    <w:p w14:paraId="22985604" w14:textId="77777777" w:rsidR="00795E60" w:rsidRDefault="00F56376">
      <w:pPr>
        <w:pStyle w:val="BodyText"/>
        <w:widowControl w:val="0"/>
      </w:pPr>
      <w:r>
        <w:t>Att den nationella strategin för sociala företag och social innovation inte har reviderats har bidragit till att det regionala arbetet delvis har tappat fart. Samtidigt har förändringar i omvärlden bidragit till att det regionala arbetet har ökat i betydelse.</w:t>
      </w:r>
    </w:p>
    <w:p w14:paraId="49288FE0" w14:textId="77777777" w:rsidR="00795E60" w:rsidRDefault="00F56376">
      <w:pPr>
        <w:pStyle w:val="BodyText"/>
        <w:widowControl w:val="0"/>
      </w:pPr>
      <w:r>
        <w:rPr>
          <w:b/>
        </w:rPr>
        <w:t>Den digitala utvecklingen</w:t>
      </w:r>
    </w:p>
    <w:p w14:paraId="34245599" w14:textId="77777777" w:rsidR="00795E60" w:rsidRDefault="00F56376">
      <w:pPr>
        <w:pStyle w:val="BodyText"/>
        <w:widowControl w:val="0"/>
      </w:pPr>
      <w:r>
        <w:t>Den offentligt finansierade kulturen i Örebro län har svårt att konkurrera med stora medieplattformar och den kommersiella kulturen. På grund av relativt sett låga offentliga medel har få regionalt finansierade kulturaktörer möjlighet att ställa om till en digital verklighet. En annan central fråga inom kulturområdet handlar om utvecklingen av AI, eftersom AI dels möjliggör konstnärlig förnyelse, dels utmanar yrkesverksamma kulturskapares integritet och upphovsrätt</w:t>
      </w:r>
    </w:p>
    <w:p w14:paraId="70F4A486" w14:textId="77777777" w:rsidR="00795E60" w:rsidRDefault="00F56376">
      <w:pPr>
        <w:pStyle w:val="BodyText"/>
        <w:widowControl w:val="0"/>
      </w:pPr>
      <w:r>
        <w:t>Många organisationer inom civilsamhället och den sociala ekonomin har låg mognadsgrad när det gäller digitala lösningar. Det handlar om allt från webbsidor till administrativa stöd för rutiner och processer. Bristande marknadsföring och information om organisationernas verksamheter och aktiviteter är en utmaning. Däremot möter många organisationer inom civilsamhället människor i digitalt utanförskap och kan ha en stödjande roll.</w:t>
      </w:r>
    </w:p>
    <w:p w14:paraId="74588FA1" w14:textId="77777777" w:rsidR="00795E60" w:rsidRDefault="00F56376">
      <w:pPr>
        <w:pStyle w:val="BodyText"/>
        <w:widowControl w:val="0"/>
      </w:pPr>
      <w:r>
        <w:rPr>
          <w:b/>
        </w:rPr>
        <w:lastRenderedPageBreak/>
        <w:t>Internationalisering</w:t>
      </w:r>
    </w:p>
    <w:p w14:paraId="048B0383" w14:textId="77777777" w:rsidR="00795E60" w:rsidRDefault="00F56376">
      <w:pPr>
        <w:pStyle w:val="BodyText"/>
        <w:widowControl w:val="0"/>
      </w:pPr>
      <w:r>
        <w:t>Det finns politiska målsättningar att kultur i högre grad ska komplettera sin offentliga finansiering med annan finansiering som exempelvis EU-medel. En sådan utveckling kräver förändrade arbetssätt, både inom Region Örebro län och bland kulturaktörer.Vid sidan av de nya rutiner och arbetssätt som behöver utvecklas behöver det också säkerställas att det finns kapacitet att formulera ansökningar och bygga europeiska konsortier när relevanta EU- utlysningar publiceras inom till exempel Kreativa Europa, Horizo</w:t>
      </w:r>
      <w:r>
        <w:t>n, Europa för medborgarna och Erasmus+. Innehållsliga prioriteringar behöver göras så att vi satsar på ”de rätta utlysningarna”. Inom civilsamhället ingår redan Partnerskapet för sociala innovationer som en viktigt "stakeholder group" i de flesta EU-ansökningar som Kultur och ideell sektor skriver.</w:t>
      </w:r>
    </w:p>
    <w:p w14:paraId="64125AFB" w14:textId="77777777" w:rsidR="00795E60" w:rsidRDefault="00F56376">
      <w:pPr>
        <w:pStyle w:val="Rubrik1"/>
      </w:pPr>
      <w:bookmarkStart w:id="17" w:name="_Toc220678307"/>
      <w:r>
        <w:t>Intern styrning och kontroll</w:t>
      </w:r>
      <w:bookmarkEnd w:id="17"/>
    </w:p>
    <w:p w14:paraId="2F393756" w14:textId="77777777" w:rsidR="00795E60" w:rsidRDefault="00F56376">
      <w:pPr>
        <w:pStyle w:val="Rubrik2"/>
      </w:pPr>
      <w:bookmarkStart w:id="18" w:name="_Toc220678308"/>
      <w:r>
        <w:t>Internkontrollplan</w:t>
      </w:r>
      <w:bookmarkEnd w:id="18"/>
    </w:p>
    <w:p w14:paraId="410CA427" w14:textId="77777777" w:rsidR="00795E60" w:rsidRDefault="00F56376">
      <w:pPr>
        <w:pStyle w:val="Rubrik3"/>
      </w:pPr>
      <w:r>
        <w:t>HR</w:t>
      </w:r>
    </w:p>
    <w:p w14:paraId="1D0231B4" w14:textId="77777777" w:rsidR="00795E60" w:rsidRDefault="00F56376">
      <w:pPr>
        <w:pStyle w:val="Rubrik4"/>
      </w:pPr>
      <w:r>
        <w:t>Regionövergripande: Risk att systematiskt arbetsmiljöarbete (SAM) inte är välfungerande i vardagen.</w:t>
      </w:r>
    </w:p>
    <w:tbl>
      <w:tblPr>
        <w:tblStyle w:val="Tabellrutnt"/>
        <w:tblOverlap w:val="never"/>
        <w:tblW w:w="0" w:type="auto"/>
        <w:tblLook w:val="04A0" w:firstRow="1" w:lastRow="0" w:firstColumn="1" w:lastColumn="0" w:noHBand="0" w:noVBand="1"/>
      </w:tblPr>
      <w:tblGrid>
        <w:gridCol w:w="9628"/>
      </w:tblGrid>
      <w:tr w:rsidR="00FC2AD8" w14:paraId="5340E613" w14:textId="77777777">
        <w:trPr>
          <w:cantSplit w:val="0"/>
          <w:tblHeader/>
        </w:trPr>
        <w:tc>
          <w:tcPr>
            <w:tcW w:w="9638" w:type="dxa"/>
            <w:tcBorders>
              <w:top w:val="single" w:sz="4" w:space="0" w:color="auto"/>
              <w:left w:val="single" w:sz="4" w:space="0" w:color="auto"/>
              <w:bottom w:val="single" w:sz="4" w:space="0" w:color="auto"/>
              <w:right w:val="single" w:sz="4" w:space="0" w:color="auto"/>
            </w:tcBorders>
            <w:shd w:val="clear" w:color="auto" w:fill="E1E9F2"/>
            <w:vAlign w:val="center"/>
          </w:tcPr>
          <w:p w14:paraId="78398F71" w14:textId="77777777" w:rsidR="00795E60" w:rsidRDefault="00F56376">
            <w:pPr>
              <w:pStyle w:val="Tabellcell"/>
            </w:pPr>
            <w:r>
              <w:rPr>
                <w:b/>
              </w:rPr>
              <w:t>Åtgärd</w:t>
            </w:r>
          </w:p>
        </w:tc>
      </w:tr>
      <w:tr w:rsidR="00FC2AD8" w14:paraId="265C0713" w14:textId="77777777">
        <w:trPr>
          <w:cantSplit w:val="0"/>
        </w:trPr>
        <w:tc>
          <w:tcPr>
            <w:tcW w:w="9638" w:type="dxa"/>
            <w:tcBorders>
              <w:top w:val="single" w:sz="4" w:space="0" w:color="auto"/>
              <w:left w:val="single" w:sz="4" w:space="0" w:color="auto"/>
              <w:bottom w:val="nil"/>
              <w:right w:val="single" w:sz="4" w:space="0" w:color="auto"/>
            </w:tcBorders>
            <w:shd w:val="clear" w:color="auto" w:fill="FFFFFF"/>
          </w:tcPr>
          <w:p w14:paraId="7BC742D6" w14:textId="77777777" w:rsidR="00795E60" w:rsidRDefault="00F56376">
            <w:pPr>
              <w:pStyle w:val="Tabellcell"/>
            </w:pPr>
            <w:r>
              <w:rPr>
                <w:b/>
              </w:rPr>
              <w:t xml:space="preserve">Regionövergripande åtgärd: - Varje chef ska hantera sina fördelade arbetsmiljöuppgifter och arbeta med att undersöka och riskbedöma alla </w:t>
            </w:r>
            <w:r>
              <w:rPr>
                <w:b/>
              </w:rPr>
              <w:t>arbetsmiljöförhållanden, sätta in åtgärder och följa upp att åtgärderna haft effekt.</w:t>
            </w:r>
          </w:p>
        </w:tc>
      </w:tr>
      <w:tr w:rsidR="00FC2AD8" w14:paraId="794A5EB0" w14:textId="77777777">
        <w:trPr>
          <w:cantSplit w:val="0"/>
        </w:trPr>
        <w:tc>
          <w:tcPr>
            <w:tcW w:w="9638" w:type="dxa"/>
            <w:tcBorders>
              <w:top w:val="nil"/>
              <w:left w:val="single" w:sz="4" w:space="0" w:color="auto"/>
              <w:bottom w:val="single" w:sz="4" w:space="0" w:color="auto"/>
              <w:right w:val="single" w:sz="4" w:space="0" w:color="auto"/>
            </w:tcBorders>
            <w:shd w:val="clear" w:color="auto" w:fill="FFFFFF"/>
          </w:tcPr>
          <w:p w14:paraId="33883D25" w14:textId="77777777" w:rsidR="00795E60" w:rsidRDefault="00F56376">
            <w:pPr>
              <w:pStyle w:val="Tabellcell"/>
              <w:widowControl w:val="0"/>
            </w:pPr>
            <w:r>
              <w:rPr>
                <w:b/>
                <w:i/>
              </w:rPr>
              <w:t>Kommentar</w:t>
            </w:r>
          </w:p>
          <w:p w14:paraId="0C9E74BC" w14:textId="77777777" w:rsidR="00795E60" w:rsidRDefault="00F56376">
            <w:pPr>
              <w:pStyle w:val="Tabellcell"/>
              <w:widowControl w:val="0"/>
            </w:pPr>
            <w:r>
              <w:t>Kontroll av efterlevnaden av SAM-processen sker i samverkan med fackliga parter. Bedömningen är att förvaltningen överlag uppfyller de krav som finns. Förvaltningen systematiska arbetsmiljöarbete genomförs idag enligt samma arbetssätt som gäller i övriga Region Örebro län. Respektive chef, med stöd av HR, är ansvarig för arbetet. Riskbedömningar lokalt görs löpande vid förändringar som riskerar att påverka arbetsmiljön.</w:t>
            </w:r>
          </w:p>
          <w:p w14:paraId="35F0FDEE" w14:textId="77777777" w:rsidR="00795E60" w:rsidRDefault="00F56376">
            <w:pPr>
              <w:pStyle w:val="Tabellcell"/>
              <w:widowControl w:val="0"/>
              <w:numPr>
                <w:ilvl w:val="0"/>
                <w:numId w:val="19"/>
              </w:numPr>
            </w:pPr>
            <w:r>
              <w:t>Åtgärden är avslutad.</w:t>
            </w:r>
          </w:p>
        </w:tc>
      </w:tr>
      <w:tr w:rsidR="00FC2AD8" w14:paraId="11C68EBB" w14:textId="77777777">
        <w:trPr>
          <w:cantSplit w:val="0"/>
        </w:trPr>
        <w:tc>
          <w:tcPr>
            <w:tcW w:w="9638" w:type="dxa"/>
            <w:tcBorders>
              <w:top w:val="single" w:sz="4" w:space="0" w:color="auto"/>
              <w:left w:val="single" w:sz="4" w:space="0" w:color="auto"/>
              <w:bottom w:val="nil"/>
              <w:right w:val="single" w:sz="4" w:space="0" w:color="auto"/>
            </w:tcBorders>
            <w:shd w:val="clear" w:color="auto" w:fill="FFFFFF"/>
          </w:tcPr>
          <w:p w14:paraId="351F6DDD" w14:textId="77777777" w:rsidR="00795E60" w:rsidRDefault="00F56376">
            <w:pPr>
              <w:pStyle w:val="Tabellcell"/>
            </w:pPr>
            <w:r>
              <w:rPr>
                <w:b/>
              </w:rPr>
              <w:t>Regionövergripande åtgärd: - Varje chef ska årligen följa upp sitt arbetsmiljöarbete enligt rutin och förbättra där det är nödvändigt.</w:t>
            </w:r>
          </w:p>
        </w:tc>
      </w:tr>
      <w:tr w:rsidR="00FC2AD8" w14:paraId="67B9BE04" w14:textId="77777777">
        <w:trPr>
          <w:cantSplit w:val="0"/>
        </w:trPr>
        <w:tc>
          <w:tcPr>
            <w:tcW w:w="9638" w:type="dxa"/>
            <w:tcBorders>
              <w:top w:val="nil"/>
              <w:left w:val="single" w:sz="4" w:space="0" w:color="auto"/>
              <w:bottom w:val="single" w:sz="4" w:space="0" w:color="auto"/>
              <w:right w:val="single" w:sz="4" w:space="0" w:color="auto"/>
            </w:tcBorders>
            <w:shd w:val="clear" w:color="auto" w:fill="FFFFFF"/>
          </w:tcPr>
          <w:p w14:paraId="095E4E70" w14:textId="77777777" w:rsidR="00795E60" w:rsidRDefault="00F56376">
            <w:pPr>
              <w:pStyle w:val="Tabellcell"/>
              <w:widowControl w:val="0"/>
            </w:pPr>
            <w:r>
              <w:rPr>
                <w:b/>
                <w:i/>
              </w:rPr>
              <w:t>Kommentar</w:t>
            </w:r>
          </w:p>
          <w:p w14:paraId="01F3E280" w14:textId="77777777" w:rsidR="00795E60" w:rsidRDefault="00F56376">
            <w:pPr>
              <w:pStyle w:val="Tabellcell"/>
              <w:widowControl w:val="0"/>
            </w:pPr>
            <w:r>
              <w:t xml:space="preserve">Förvaltningen regional utveckling arbetar utifrån de riktlinjer och </w:t>
            </w:r>
            <w:r>
              <w:t>verktyg som tas fram för RÖL och uppföljning görs på årsbasis.</w:t>
            </w:r>
          </w:p>
          <w:p w14:paraId="04450ABE" w14:textId="77777777" w:rsidR="00795E60" w:rsidRDefault="00F56376">
            <w:pPr>
              <w:pStyle w:val="Tabellcell"/>
              <w:widowControl w:val="0"/>
              <w:numPr>
                <w:ilvl w:val="0"/>
                <w:numId w:val="19"/>
              </w:numPr>
            </w:pPr>
            <w:r>
              <w:t>Åtgärden är avslutad.</w:t>
            </w:r>
          </w:p>
        </w:tc>
      </w:tr>
      <w:tr w:rsidR="00FC2AD8" w14:paraId="449B4BB7" w14:textId="77777777">
        <w:trPr>
          <w:cantSplit w:val="0"/>
        </w:trPr>
        <w:tc>
          <w:tcPr>
            <w:tcW w:w="9638" w:type="dxa"/>
            <w:tcBorders>
              <w:top w:val="single" w:sz="4" w:space="0" w:color="auto"/>
              <w:left w:val="single" w:sz="4" w:space="0" w:color="auto"/>
              <w:bottom w:val="nil"/>
              <w:right w:val="single" w:sz="4" w:space="0" w:color="auto"/>
            </w:tcBorders>
            <w:shd w:val="clear" w:color="auto" w:fill="FFFFFF"/>
          </w:tcPr>
          <w:p w14:paraId="5BBB899E" w14:textId="77777777" w:rsidR="00795E60" w:rsidRDefault="00F56376">
            <w:pPr>
              <w:pStyle w:val="Tabellcell"/>
            </w:pPr>
            <w:r>
              <w:rPr>
                <w:b/>
              </w:rPr>
              <w:t>Regionövergripande åtgärd: Fördelande chef ska minst årligen stämma av hur arbetsmiljöarbetet fungerar och att det finns förutsättningar för arbetsmiljöarbetet</w:t>
            </w:r>
          </w:p>
        </w:tc>
      </w:tr>
      <w:tr w:rsidR="00FC2AD8" w14:paraId="4E8433EA" w14:textId="77777777">
        <w:trPr>
          <w:cantSplit w:val="0"/>
        </w:trPr>
        <w:tc>
          <w:tcPr>
            <w:tcW w:w="9638" w:type="dxa"/>
            <w:tcBorders>
              <w:top w:val="nil"/>
              <w:left w:val="single" w:sz="4" w:space="0" w:color="auto"/>
              <w:bottom w:val="single" w:sz="4" w:space="0" w:color="auto"/>
              <w:right w:val="single" w:sz="4" w:space="0" w:color="auto"/>
            </w:tcBorders>
            <w:shd w:val="clear" w:color="auto" w:fill="FFFFFF"/>
          </w:tcPr>
          <w:p w14:paraId="14B472BE" w14:textId="77777777" w:rsidR="00795E60" w:rsidRDefault="00F56376">
            <w:pPr>
              <w:pStyle w:val="Tabellcell"/>
              <w:widowControl w:val="0"/>
            </w:pPr>
            <w:r>
              <w:rPr>
                <w:b/>
                <w:i/>
              </w:rPr>
              <w:t>Kommentar</w:t>
            </w:r>
          </w:p>
          <w:p w14:paraId="69A28C88" w14:textId="77777777" w:rsidR="00795E60" w:rsidRDefault="00F56376">
            <w:pPr>
              <w:pStyle w:val="Tabellcell"/>
              <w:widowControl w:val="0"/>
            </w:pPr>
            <w:r>
              <w:t>Uppföljning görs årligen både regionövergripande och i medarbetarsamtal.</w:t>
            </w:r>
          </w:p>
          <w:p w14:paraId="1BF62F60" w14:textId="77777777" w:rsidR="00795E60" w:rsidRDefault="00F56376">
            <w:pPr>
              <w:pStyle w:val="Tabellcell"/>
              <w:widowControl w:val="0"/>
              <w:numPr>
                <w:ilvl w:val="0"/>
                <w:numId w:val="19"/>
              </w:numPr>
            </w:pPr>
            <w:r>
              <w:t xml:space="preserve">Åtgärden är avslutad. </w:t>
            </w:r>
          </w:p>
        </w:tc>
      </w:tr>
    </w:tbl>
    <w:p w14:paraId="40C88122" w14:textId="77777777" w:rsidR="00795E60" w:rsidRDefault="00F56376">
      <w:pPr>
        <w:pStyle w:val="Rubrik3"/>
      </w:pPr>
      <w:r>
        <w:lastRenderedPageBreak/>
        <w:t>Ekonomi</w:t>
      </w:r>
    </w:p>
    <w:p w14:paraId="670EC91F" w14:textId="77777777" w:rsidR="00795E60" w:rsidRDefault="00F56376">
      <w:pPr>
        <w:pStyle w:val="Rubrik4"/>
      </w:pPr>
      <w:r>
        <w:t>Risken att automatiskt attesterade fakturor blir felaktigt godkända.</w:t>
      </w:r>
    </w:p>
    <w:tbl>
      <w:tblPr>
        <w:tblStyle w:val="Tabellrutnt"/>
        <w:tblOverlap w:val="never"/>
        <w:tblW w:w="0" w:type="auto"/>
        <w:tblLook w:val="04A0" w:firstRow="1" w:lastRow="0" w:firstColumn="1" w:lastColumn="0" w:noHBand="0" w:noVBand="1"/>
      </w:tblPr>
      <w:tblGrid>
        <w:gridCol w:w="9628"/>
      </w:tblGrid>
      <w:tr w:rsidR="00FC2AD8" w14:paraId="55B3E634" w14:textId="77777777">
        <w:trPr>
          <w:cantSplit w:val="0"/>
          <w:tblHeader/>
        </w:trPr>
        <w:tc>
          <w:tcPr>
            <w:tcW w:w="9638" w:type="dxa"/>
            <w:tcBorders>
              <w:top w:val="single" w:sz="4" w:space="0" w:color="auto"/>
              <w:left w:val="single" w:sz="4" w:space="0" w:color="auto"/>
              <w:bottom w:val="single" w:sz="4" w:space="0" w:color="auto"/>
              <w:right w:val="single" w:sz="4" w:space="0" w:color="auto"/>
            </w:tcBorders>
            <w:shd w:val="clear" w:color="auto" w:fill="E1E9F2"/>
            <w:vAlign w:val="center"/>
          </w:tcPr>
          <w:p w14:paraId="3D4686F3" w14:textId="77777777" w:rsidR="00795E60" w:rsidRDefault="00F56376">
            <w:pPr>
              <w:pStyle w:val="Tabellcell"/>
            </w:pPr>
            <w:r>
              <w:rPr>
                <w:b/>
              </w:rPr>
              <w:t>Åtgärd</w:t>
            </w:r>
          </w:p>
        </w:tc>
      </w:tr>
      <w:tr w:rsidR="00FC2AD8" w14:paraId="368407D0" w14:textId="77777777">
        <w:trPr>
          <w:cantSplit w:val="0"/>
        </w:trPr>
        <w:tc>
          <w:tcPr>
            <w:tcW w:w="9638" w:type="dxa"/>
            <w:tcBorders>
              <w:top w:val="single" w:sz="4" w:space="0" w:color="auto"/>
              <w:left w:val="single" w:sz="4" w:space="0" w:color="auto"/>
              <w:bottom w:val="nil"/>
              <w:right w:val="single" w:sz="4" w:space="0" w:color="auto"/>
            </w:tcBorders>
            <w:shd w:val="clear" w:color="auto" w:fill="FFFFFF"/>
          </w:tcPr>
          <w:p w14:paraId="71932F21" w14:textId="77777777" w:rsidR="00795E60" w:rsidRDefault="00F56376">
            <w:pPr>
              <w:pStyle w:val="Tabellcell"/>
            </w:pPr>
            <w:r>
              <w:rPr>
                <w:b/>
              </w:rPr>
              <w:t xml:space="preserve">Genomföra granskning av automatiskt attesterade fakturor enligt </w:t>
            </w:r>
            <w:r>
              <w:rPr>
                <w:b/>
              </w:rPr>
              <w:t>upprättad rutin.</w:t>
            </w:r>
          </w:p>
        </w:tc>
      </w:tr>
      <w:tr w:rsidR="00FC2AD8" w14:paraId="05696C05" w14:textId="77777777">
        <w:trPr>
          <w:cantSplit w:val="0"/>
        </w:trPr>
        <w:tc>
          <w:tcPr>
            <w:tcW w:w="9638" w:type="dxa"/>
            <w:tcBorders>
              <w:top w:val="nil"/>
              <w:left w:val="single" w:sz="4" w:space="0" w:color="auto"/>
              <w:bottom w:val="single" w:sz="4" w:space="0" w:color="auto"/>
              <w:right w:val="single" w:sz="4" w:space="0" w:color="auto"/>
            </w:tcBorders>
            <w:shd w:val="clear" w:color="auto" w:fill="FFFFFF"/>
          </w:tcPr>
          <w:p w14:paraId="022C961A" w14:textId="77777777" w:rsidR="00795E60" w:rsidRDefault="00F56376">
            <w:pPr>
              <w:pStyle w:val="Tabellcell"/>
              <w:widowControl w:val="0"/>
            </w:pPr>
            <w:r>
              <w:rPr>
                <w:b/>
                <w:i/>
              </w:rPr>
              <w:t>Kommentar</w:t>
            </w:r>
          </w:p>
          <w:p w14:paraId="03870744" w14:textId="77777777" w:rsidR="00795E60" w:rsidRDefault="00F56376">
            <w:pPr>
              <w:pStyle w:val="Tabellcell"/>
              <w:widowControl w:val="0"/>
            </w:pPr>
            <w:r>
              <w:t>Granskning har genomförts enligt upprättad rutin, Internkontroll av automatiskt attesterade fakturor i Marknadsplats. Granskningen genomfördes genom stickprov och visade inga avvikelser.</w:t>
            </w:r>
          </w:p>
          <w:p w14:paraId="6E2E686F" w14:textId="77777777" w:rsidR="00795E60" w:rsidRDefault="00F56376">
            <w:pPr>
              <w:pStyle w:val="Tabellcell"/>
              <w:widowControl w:val="0"/>
              <w:numPr>
                <w:ilvl w:val="0"/>
                <w:numId w:val="19"/>
              </w:numPr>
            </w:pPr>
            <w:r>
              <w:t>Åtgärden är avslutad.</w:t>
            </w:r>
          </w:p>
        </w:tc>
      </w:tr>
    </w:tbl>
    <w:p w14:paraId="3861B031" w14:textId="77777777" w:rsidR="00795E60" w:rsidRDefault="00F56376">
      <w:pPr>
        <w:pStyle w:val="Rubrik4"/>
      </w:pPr>
      <w:r>
        <w:t xml:space="preserve">Risken att den </w:t>
      </w:r>
      <w:r>
        <w:t>ekonomiska handlingsplanen inte genomförs eller ger avsedda effekter.</w:t>
      </w:r>
    </w:p>
    <w:tbl>
      <w:tblPr>
        <w:tblStyle w:val="Tabellrutnt"/>
        <w:tblOverlap w:val="never"/>
        <w:tblW w:w="0" w:type="auto"/>
        <w:tblLook w:val="04A0" w:firstRow="1" w:lastRow="0" w:firstColumn="1" w:lastColumn="0" w:noHBand="0" w:noVBand="1"/>
      </w:tblPr>
      <w:tblGrid>
        <w:gridCol w:w="9628"/>
      </w:tblGrid>
      <w:tr w:rsidR="00FC2AD8" w14:paraId="24338473" w14:textId="77777777">
        <w:trPr>
          <w:cantSplit w:val="0"/>
          <w:tblHeader/>
        </w:trPr>
        <w:tc>
          <w:tcPr>
            <w:tcW w:w="9638" w:type="dxa"/>
            <w:tcBorders>
              <w:top w:val="single" w:sz="4" w:space="0" w:color="auto"/>
              <w:left w:val="single" w:sz="4" w:space="0" w:color="auto"/>
              <w:bottom w:val="single" w:sz="4" w:space="0" w:color="auto"/>
              <w:right w:val="single" w:sz="4" w:space="0" w:color="auto"/>
            </w:tcBorders>
            <w:shd w:val="clear" w:color="auto" w:fill="E1E9F2"/>
            <w:vAlign w:val="center"/>
          </w:tcPr>
          <w:p w14:paraId="16B1205E" w14:textId="77777777" w:rsidR="00795E60" w:rsidRDefault="00F56376">
            <w:pPr>
              <w:pStyle w:val="Tabellcell"/>
            </w:pPr>
            <w:r>
              <w:rPr>
                <w:b/>
              </w:rPr>
              <w:t>Åtgärd</w:t>
            </w:r>
          </w:p>
        </w:tc>
      </w:tr>
      <w:tr w:rsidR="00FC2AD8" w14:paraId="5C05B05B" w14:textId="77777777">
        <w:trPr>
          <w:cantSplit w:val="0"/>
        </w:trPr>
        <w:tc>
          <w:tcPr>
            <w:tcW w:w="9638" w:type="dxa"/>
            <w:tcBorders>
              <w:top w:val="single" w:sz="4" w:space="0" w:color="auto"/>
              <w:left w:val="single" w:sz="4" w:space="0" w:color="auto"/>
              <w:bottom w:val="nil"/>
              <w:right w:val="single" w:sz="4" w:space="0" w:color="auto"/>
            </w:tcBorders>
            <w:shd w:val="clear" w:color="auto" w:fill="FFFFFF"/>
          </w:tcPr>
          <w:p w14:paraId="676D027F" w14:textId="77777777" w:rsidR="00795E60" w:rsidRDefault="00F56376">
            <w:pPr>
              <w:pStyle w:val="Tabellcell"/>
            </w:pPr>
            <w:r>
              <w:rPr>
                <w:b/>
              </w:rPr>
              <w:t>Förvaltningsövergripande åtgärd: Ekonomerna inom RU ansvarar för att granska åtgärderna i respektive handlingsplan. Är uppföljningen av åtgärdernas ekonomiska effekter beräknade på ett tillfredsställande sätt?</w:t>
            </w:r>
          </w:p>
        </w:tc>
      </w:tr>
      <w:tr w:rsidR="00FC2AD8" w14:paraId="79CF102A" w14:textId="77777777">
        <w:trPr>
          <w:cantSplit w:val="0"/>
        </w:trPr>
        <w:tc>
          <w:tcPr>
            <w:tcW w:w="9638" w:type="dxa"/>
            <w:tcBorders>
              <w:top w:val="nil"/>
              <w:left w:val="single" w:sz="4" w:space="0" w:color="auto"/>
              <w:bottom w:val="single" w:sz="4" w:space="0" w:color="auto"/>
              <w:right w:val="single" w:sz="4" w:space="0" w:color="auto"/>
            </w:tcBorders>
            <w:shd w:val="clear" w:color="auto" w:fill="FFFFFF"/>
          </w:tcPr>
          <w:p w14:paraId="614B7450" w14:textId="77777777" w:rsidR="00795E60" w:rsidRDefault="00F56376">
            <w:pPr>
              <w:pStyle w:val="Tabellcell"/>
              <w:widowControl w:val="0"/>
            </w:pPr>
            <w:r>
              <w:rPr>
                <w:b/>
                <w:i/>
              </w:rPr>
              <w:t>Kommentar</w:t>
            </w:r>
          </w:p>
          <w:p w14:paraId="26BA186D" w14:textId="77777777" w:rsidR="00795E60" w:rsidRDefault="00F56376">
            <w:pPr>
              <w:pStyle w:val="Tabellcell"/>
              <w:widowControl w:val="0"/>
            </w:pPr>
            <w:r>
              <w:t>Inga brister upptäcktes i granskningen.</w:t>
            </w:r>
          </w:p>
          <w:p w14:paraId="4C47CEA3" w14:textId="77777777" w:rsidR="00795E60" w:rsidRDefault="00F56376">
            <w:pPr>
              <w:pStyle w:val="Tabellcell"/>
              <w:widowControl w:val="0"/>
              <w:numPr>
                <w:ilvl w:val="0"/>
                <w:numId w:val="19"/>
              </w:numPr>
            </w:pPr>
            <w:r>
              <w:t>Åtgärden är avslutad.</w:t>
            </w:r>
          </w:p>
        </w:tc>
      </w:tr>
    </w:tbl>
    <w:p w14:paraId="17AC0A01" w14:textId="77777777" w:rsidR="00795E60" w:rsidRDefault="00F56376">
      <w:pPr>
        <w:pStyle w:val="Rubrik4"/>
      </w:pPr>
      <w:r>
        <w:t xml:space="preserve">Risken att anteckning på faktura avseende resor och kurs- och konferenser inte är korrekt utifrån "Leverantörsfakturor – rutin för </w:t>
      </w:r>
      <w:r>
        <w:t>behandling".</w:t>
      </w:r>
    </w:p>
    <w:tbl>
      <w:tblPr>
        <w:tblStyle w:val="Tabellrutnt"/>
        <w:tblOverlap w:val="never"/>
        <w:tblW w:w="0" w:type="auto"/>
        <w:tblLook w:val="04A0" w:firstRow="1" w:lastRow="0" w:firstColumn="1" w:lastColumn="0" w:noHBand="0" w:noVBand="1"/>
      </w:tblPr>
      <w:tblGrid>
        <w:gridCol w:w="9628"/>
      </w:tblGrid>
      <w:tr w:rsidR="00FC2AD8" w14:paraId="693599BD" w14:textId="77777777">
        <w:trPr>
          <w:cantSplit w:val="0"/>
          <w:tblHeader/>
        </w:trPr>
        <w:tc>
          <w:tcPr>
            <w:tcW w:w="9638" w:type="dxa"/>
            <w:tcBorders>
              <w:top w:val="single" w:sz="4" w:space="0" w:color="auto"/>
              <w:left w:val="single" w:sz="4" w:space="0" w:color="auto"/>
              <w:bottom w:val="single" w:sz="4" w:space="0" w:color="auto"/>
              <w:right w:val="single" w:sz="4" w:space="0" w:color="auto"/>
            </w:tcBorders>
            <w:shd w:val="clear" w:color="auto" w:fill="E1E9F2"/>
            <w:vAlign w:val="center"/>
          </w:tcPr>
          <w:p w14:paraId="3E088DD2" w14:textId="77777777" w:rsidR="00795E60" w:rsidRDefault="00F56376">
            <w:pPr>
              <w:pStyle w:val="Tabellcell"/>
            </w:pPr>
            <w:r>
              <w:rPr>
                <w:b/>
              </w:rPr>
              <w:t>Åtgärd</w:t>
            </w:r>
          </w:p>
        </w:tc>
      </w:tr>
      <w:tr w:rsidR="00FC2AD8" w14:paraId="6AD7CF76" w14:textId="77777777">
        <w:trPr>
          <w:cantSplit w:val="0"/>
        </w:trPr>
        <w:tc>
          <w:tcPr>
            <w:tcW w:w="9638" w:type="dxa"/>
            <w:tcBorders>
              <w:top w:val="single" w:sz="4" w:space="0" w:color="auto"/>
              <w:left w:val="single" w:sz="4" w:space="0" w:color="auto"/>
              <w:bottom w:val="nil"/>
              <w:right w:val="single" w:sz="4" w:space="0" w:color="auto"/>
            </w:tcBorders>
            <w:shd w:val="clear" w:color="auto" w:fill="FFFFFF"/>
          </w:tcPr>
          <w:p w14:paraId="4857C971" w14:textId="77777777" w:rsidR="00795E60" w:rsidRDefault="00F56376">
            <w:pPr>
              <w:pStyle w:val="Tabellcell"/>
            </w:pPr>
            <w:r>
              <w:rPr>
                <w:b/>
              </w:rPr>
              <w:t>Genomföra stickprovskontroller på konto 4611, 4630, 6811-6899 och 7070.</w:t>
            </w:r>
          </w:p>
        </w:tc>
      </w:tr>
      <w:tr w:rsidR="00FC2AD8" w14:paraId="36551659" w14:textId="77777777">
        <w:trPr>
          <w:cantSplit w:val="0"/>
        </w:trPr>
        <w:tc>
          <w:tcPr>
            <w:tcW w:w="9638" w:type="dxa"/>
            <w:tcBorders>
              <w:top w:val="nil"/>
              <w:left w:val="single" w:sz="4" w:space="0" w:color="auto"/>
              <w:bottom w:val="single" w:sz="4" w:space="0" w:color="auto"/>
              <w:right w:val="single" w:sz="4" w:space="0" w:color="auto"/>
            </w:tcBorders>
            <w:shd w:val="clear" w:color="auto" w:fill="FFFFFF"/>
          </w:tcPr>
          <w:p w14:paraId="743ED2C8" w14:textId="77777777" w:rsidR="00795E60" w:rsidRDefault="00F56376">
            <w:pPr>
              <w:pStyle w:val="Tabellcell"/>
              <w:widowControl w:val="0"/>
            </w:pPr>
            <w:r>
              <w:rPr>
                <w:b/>
                <w:i/>
              </w:rPr>
              <w:t>Kommentar</w:t>
            </w:r>
          </w:p>
          <w:p w14:paraId="292938AC" w14:textId="77777777" w:rsidR="00795E60" w:rsidRDefault="00F56376">
            <w:pPr>
              <w:pStyle w:val="Tabellcell"/>
              <w:widowControl w:val="0"/>
            </w:pPr>
            <w:r>
              <w:t xml:space="preserve">Regionservice, avdelning ekonomi, har genomfört granskningen för alla förvaltningar. Granskningen har omfattat kontroll om det finns en </w:t>
            </w:r>
            <w:r>
              <w:t>anteckning om syfte och deltagare vid intern representation samt kontering. För regionkansliet har 28 leverantörsfakturor kontrollerats. Samtliga fakturor innehåller uppgift om syfte och deltagare. Dock var två fakturor felkonterade. Dessa har rättats.</w:t>
            </w:r>
          </w:p>
          <w:p w14:paraId="2D6FD542" w14:textId="77777777" w:rsidR="00795E60" w:rsidRDefault="00F56376">
            <w:pPr>
              <w:pStyle w:val="Tabellcell"/>
              <w:widowControl w:val="0"/>
              <w:numPr>
                <w:ilvl w:val="0"/>
                <w:numId w:val="19"/>
              </w:numPr>
            </w:pPr>
            <w:r>
              <w:t>Åtgärden är avslutad.</w:t>
            </w:r>
          </w:p>
        </w:tc>
      </w:tr>
    </w:tbl>
    <w:p w14:paraId="79473835" w14:textId="77777777" w:rsidR="00795E60" w:rsidRDefault="00F56376">
      <w:pPr>
        <w:pStyle w:val="Rubrik4"/>
      </w:pPr>
      <w:r>
        <w:t>Risken att inköp inte sker via marknadsplats, även om funktionaliteten finns, och att inköp sker utanför avtal.</w:t>
      </w:r>
    </w:p>
    <w:tbl>
      <w:tblPr>
        <w:tblStyle w:val="Tabellrutnt"/>
        <w:tblOverlap w:val="never"/>
        <w:tblW w:w="0" w:type="auto"/>
        <w:tblLook w:val="04A0" w:firstRow="1" w:lastRow="0" w:firstColumn="1" w:lastColumn="0" w:noHBand="0" w:noVBand="1"/>
      </w:tblPr>
      <w:tblGrid>
        <w:gridCol w:w="9628"/>
      </w:tblGrid>
      <w:tr w:rsidR="00FC2AD8" w14:paraId="237DB6C6" w14:textId="77777777">
        <w:trPr>
          <w:cantSplit w:val="0"/>
          <w:tblHeader/>
        </w:trPr>
        <w:tc>
          <w:tcPr>
            <w:tcW w:w="9638" w:type="dxa"/>
            <w:tcBorders>
              <w:top w:val="single" w:sz="4" w:space="0" w:color="auto"/>
              <w:left w:val="single" w:sz="4" w:space="0" w:color="auto"/>
              <w:bottom w:val="single" w:sz="4" w:space="0" w:color="auto"/>
              <w:right w:val="single" w:sz="4" w:space="0" w:color="auto"/>
            </w:tcBorders>
            <w:shd w:val="clear" w:color="auto" w:fill="E1E9F2"/>
            <w:vAlign w:val="center"/>
          </w:tcPr>
          <w:p w14:paraId="3C444E54" w14:textId="77777777" w:rsidR="00795E60" w:rsidRDefault="00F56376">
            <w:pPr>
              <w:pStyle w:val="Tabellcell"/>
            </w:pPr>
            <w:r>
              <w:rPr>
                <w:b/>
              </w:rPr>
              <w:t>Åtgärd</w:t>
            </w:r>
          </w:p>
        </w:tc>
      </w:tr>
      <w:tr w:rsidR="00FC2AD8" w14:paraId="3AB57011" w14:textId="77777777">
        <w:trPr>
          <w:cantSplit w:val="0"/>
        </w:trPr>
        <w:tc>
          <w:tcPr>
            <w:tcW w:w="9638" w:type="dxa"/>
            <w:tcBorders>
              <w:top w:val="single" w:sz="4" w:space="0" w:color="auto"/>
              <w:left w:val="single" w:sz="4" w:space="0" w:color="auto"/>
              <w:bottom w:val="nil"/>
              <w:right w:val="single" w:sz="4" w:space="0" w:color="auto"/>
            </w:tcBorders>
            <w:shd w:val="clear" w:color="auto" w:fill="FFFFFF"/>
          </w:tcPr>
          <w:p w14:paraId="28D97DA2" w14:textId="77777777" w:rsidR="00795E60" w:rsidRDefault="00F56376">
            <w:pPr>
              <w:pStyle w:val="Tabellcell"/>
            </w:pPr>
            <w:r>
              <w:rPr>
                <w:b/>
              </w:rPr>
              <w:t>Arbeta med kulturförändring av inköpsmöns-ter och säkerställa att inköp sker inom avtal genom information till chefer och inköpsan-svariga.</w:t>
            </w:r>
          </w:p>
        </w:tc>
      </w:tr>
      <w:tr w:rsidR="00FC2AD8" w14:paraId="64B03701" w14:textId="77777777">
        <w:trPr>
          <w:cantSplit w:val="0"/>
        </w:trPr>
        <w:tc>
          <w:tcPr>
            <w:tcW w:w="9638" w:type="dxa"/>
            <w:tcBorders>
              <w:top w:val="nil"/>
              <w:left w:val="single" w:sz="4" w:space="0" w:color="auto"/>
              <w:bottom w:val="single" w:sz="4" w:space="0" w:color="auto"/>
              <w:right w:val="single" w:sz="4" w:space="0" w:color="auto"/>
            </w:tcBorders>
            <w:shd w:val="clear" w:color="auto" w:fill="FFFFFF"/>
          </w:tcPr>
          <w:p w14:paraId="5D990933" w14:textId="77777777" w:rsidR="00795E60" w:rsidRDefault="00F56376">
            <w:pPr>
              <w:pStyle w:val="Tabellcell"/>
              <w:widowControl w:val="0"/>
            </w:pPr>
            <w:r>
              <w:rPr>
                <w:b/>
                <w:i/>
              </w:rPr>
              <w:t>Kommentar</w:t>
            </w:r>
          </w:p>
          <w:p w14:paraId="5302DF3D" w14:textId="77777777" w:rsidR="00795E60" w:rsidRDefault="00F56376">
            <w:pPr>
              <w:pStyle w:val="Tabellcell"/>
              <w:widowControl w:val="0"/>
            </w:pPr>
            <w:r>
              <w:t xml:space="preserve">Åtgärden genomförs av Regionservice, avdelning för upphandling. Inom Regionservice pågår ett </w:t>
            </w:r>
            <w:r>
              <w:t>pilotprojekt i syfte att minska på antalet personer som beställer varor. Förändringen medför dels bättre möjligheter att nå ut med relevant information till beställarkretsen, dels förutsättningar för att hålla en högre kompetens och kännedom inom beställarkretsen om vilka och innehållet i de avtal Region Örebro län tecknat.</w:t>
            </w:r>
            <w:r>
              <w:br/>
              <w:t>Risken och definierade åtgärder är regionövergripande och riktas främst mot regionens kärnverksamheter. Regionkansliets verksamheter berörs i liten omfattning.</w:t>
            </w:r>
          </w:p>
          <w:p w14:paraId="303B0EB6" w14:textId="77777777" w:rsidR="00795E60" w:rsidRDefault="00F56376">
            <w:pPr>
              <w:pStyle w:val="Tabellcell"/>
              <w:widowControl w:val="0"/>
              <w:numPr>
                <w:ilvl w:val="0"/>
                <w:numId w:val="19"/>
              </w:numPr>
            </w:pPr>
            <w:r>
              <w:t>Åtgärden är genomförd men inte uppnått full effekt.</w:t>
            </w:r>
          </w:p>
        </w:tc>
      </w:tr>
    </w:tbl>
    <w:p w14:paraId="573B07DD" w14:textId="77777777" w:rsidR="00795E60" w:rsidRDefault="00F56376">
      <w:pPr>
        <w:pStyle w:val="Rubrik4"/>
      </w:pPr>
      <w:r>
        <w:lastRenderedPageBreak/>
        <w:t>Risken att redovisning vid inköp med First Cards inköpskort inte redovisas korrekt enligt riktlinje och rutin.</w:t>
      </w:r>
    </w:p>
    <w:tbl>
      <w:tblPr>
        <w:tblStyle w:val="Tabellrutnt"/>
        <w:tblOverlap w:val="never"/>
        <w:tblW w:w="0" w:type="auto"/>
        <w:tblLook w:val="04A0" w:firstRow="1" w:lastRow="0" w:firstColumn="1" w:lastColumn="0" w:noHBand="0" w:noVBand="1"/>
      </w:tblPr>
      <w:tblGrid>
        <w:gridCol w:w="9628"/>
      </w:tblGrid>
      <w:tr w:rsidR="00FC2AD8" w14:paraId="1AE1143A" w14:textId="77777777">
        <w:trPr>
          <w:cantSplit w:val="0"/>
          <w:tblHeader/>
        </w:trPr>
        <w:tc>
          <w:tcPr>
            <w:tcW w:w="9638" w:type="dxa"/>
            <w:tcBorders>
              <w:top w:val="single" w:sz="4" w:space="0" w:color="auto"/>
              <w:left w:val="single" w:sz="4" w:space="0" w:color="auto"/>
              <w:bottom w:val="single" w:sz="4" w:space="0" w:color="auto"/>
              <w:right w:val="single" w:sz="4" w:space="0" w:color="auto"/>
            </w:tcBorders>
            <w:shd w:val="clear" w:color="auto" w:fill="E1E9F2"/>
            <w:vAlign w:val="center"/>
          </w:tcPr>
          <w:p w14:paraId="0EA995B6" w14:textId="77777777" w:rsidR="00795E60" w:rsidRDefault="00F56376">
            <w:pPr>
              <w:pStyle w:val="Tabellcell"/>
            </w:pPr>
            <w:r>
              <w:rPr>
                <w:b/>
              </w:rPr>
              <w:t>Åtgärd</w:t>
            </w:r>
          </w:p>
        </w:tc>
      </w:tr>
      <w:tr w:rsidR="00FC2AD8" w14:paraId="533B7D83" w14:textId="77777777">
        <w:trPr>
          <w:cantSplit w:val="0"/>
        </w:trPr>
        <w:tc>
          <w:tcPr>
            <w:tcW w:w="9638" w:type="dxa"/>
            <w:tcBorders>
              <w:top w:val="single" w:sz="4" w:space="0" w:color="auto"/>
              <w:left w:val="single" w:sz="4" w:space="0" w:color="auto"/>
              <w:bottom w:val="nil"/>
              <w:right w:val="single" w:sz="4" w:space="0" w:color="auto"/>
            </w:tcBorders>
            <w:shd w:val="clear" w:color="auto" w:fill="FFFFFF"/>
          </w:tcPr>
          <w:p w14:paraId="47D1B5E2" w14:textId="77777777" w:rsidR="00795E60" w:rsidRDefault="00F56376">
            <w:pPr>
              <w:pStyle w:val="Tabellcell"/>
            </w:pPr>
            <w:r>
              <w:rPr>
                <w:b/>
              </w:rPr>
              <w:t>Genomföra stickprovskontroller att rutinen efterlevs.</w:t>
            </w:r>
          </w:p>
        </w:tc>
      </w:tr>
      <w:tr w:rsidR="00FC2AD8" w14:paraId="447E53F6" w14:textId="77777777">
        <w:trPr>
          <w:cantSplit w:val="0"/>
        </w:trPr>
        <w:tc>
          <w:tcPr>
            <w:tcW w:w="9638" w:type="dxa"/>
            <w:tcBorders>
              <w:top w:val="nil"/>
              <w:left w:val="single" w:sz="4" w:space="0" w:color="auto"/>
              <w:bottom w:val="single" w:sz="4" w:space="0" w:color="auto"/>
              <w:right w:val="single" w:sz="4" w:space="0" w:color="auto"/>
            </w:tcBorders>
            <w:shd w:val="clear" w:color="auto" w:fill="FFFFFF"/>
          </w:tcPr>
          <w:p w14:paraId="2C4ADF56" w14:textId="77777777" w:rsidR="00795E60" w:rsidRDefault="00F56376">
            <w:pPr>
              <w:pStyle w:val="Tabellcell"/>
              <w:widowControl w:val="0"/>
            </w:pPr>
            <w:r>
              <w:rPr>
                <w:b/>
                <w:i/>
              </w:rPr>
              <w:t>Kommentar</w:t>
            </w:r>
          </w:p>
          <w:p w14:paraId="4F66AA6D" w14:textId="77777777" w:rsidR="00795E60" w:rsidRDefault="00F56376">
            <w:pPr>
              <w:pStyle w:val="Tabellcell"/>
              <w:widowControl w:val="0"/>
            </w:pPr>
            <w:r>
              <w:t xml:space="preserve">Åtgärden genomförs av </w:t>
            </w:r>
            <w:r>
              <w:t>Regionservice, avdelning för upphandling. Inom Regionservice pågår ett pilotprojekt i syfte att minska på antalet personer som beställer varor. Förändringen medför dels bättre möjligheter att nå ut med relevant information till beställarkretsen, dels förutsättningar för att hålla en högre kompetens och kännedom inom beställarkretsen om vilka och innehållet i de avtal Region Örebro län tecknat.</w:t>
            </w:r>
            <w:r>
              <w:br/>
              <w:t>Risken och definierade åtgärder är regionövergripande och riktas främst mot regionens kärnverksamheter. Regionkansl</w:t>
            </w:r>
            <w:r>
              <w:t>iets verksamheter berörs i liten omfattning.</w:t>
            </w:r>
          </w:p>
          <w:p w14:paraId="30A4FCAD" w14:textId="77777777" w:rsidR="00795E60" w:rsidRDefault="00F56376">
            <w:pPr>
              <w:pStyle w:val="Tabellcell"/>
              <w:widowControl w:val="0"/>
              <w:numPr>
                <w:ilvl w:val="0"/>
                <w:numId w:val="19"/>
              </w:numPr>
            </w:pPr>
            <w:r>
              <w:t>Åtgärden är genomförd men inte uppnått full effekt.</w:t>
            </w:r>
          </w:p>
        </w:tc>
      </w:tr>
    </w:tbl>
    <w:p w14:paraId="3D67D969" w14:textId="77777777" w:rsidR="00795E60" w:rsidRDefault="00F56376">
      <w:pPr>
        <w:pStyle w:val="Rubrik4"/>
      </w:pPr>
      <w:r>
        <w:t>Risken att investeringar redovisas felaktigt.</w:t>
      </w:r>
    </w:p>
    <w:tbl>
      <w:tblPr>
        <w:tblStyle w:val="Tabellrutnt"/>
        <w:tblOverlap w:val="never"/>
        <w:tblW w:w="0" w:type="auto"/>
        <w:tblLook w:val="04A0" w:firstRow="1" w:lastRow="0" w:firstColumn="1" w:lastColumn="0" w:noHBand="0" w:noVBand="1"/>
      </w:tblPr>
      <w:tblGrid>
        <w:gridCol w:w="9628"/>
      </w:tblGrid>
      <w:tr w:rsidR="00FC2AD8" w14:paraId="7C5FAC7B" w14:textId="77777777">
        <w:trPr>
          <w:cantSplit w:val="0"/>
          <w:tblHeader/>
        </w:trPr>
        <w:tc>
          <w:tcPr>
            <w:tcW w:w="9638" w:type="dxa"/>
            <w:tcBorders>
              <w:top w:val="single" w:sz="4" w:space="0" w:color="auto"/>
              <w:left w:val="single" w:sz="4" w:space="0" w:color="auto"/>
              <w:bottom w:val="single" w:sz="4" w:space="0" w:color="auto"/>
              <w:right w:val="single" w:sz="4" w:space="0" w:color="auto"/>
            </w:tcBorders>
            <w:shd w:val="clear" w:color="auto" w:fill="E1E9F2"/>
            <w:vAlign w:val="center"/>
          </w:tcPr>
          <w:p w14:paraId="540C7134" w14:textId="77777777" w:rsidR="00795E60" w:rsidRDefault="00F56376">
            <w:pPr>
              <w:pStyle w:val="Tabellcell"/>
            </w:pPr>
            <w:r>
              <w:rPr>
                <w:b/>
              </w:rPr>
              <w:t>Åtgärd</w:t>
            </w:r>
          </w:p>
        </w:tc>
      </w:tr>
      <w:tr w:rsidR="00FC2AD8" w14:paraId="3D72335A" w14:textId="77777777">
        <w:trPr>
          <w:cantSplit w:val="0"/>
        </w:trPr>
        <w:tc>
          <w:tcPr>
            <w:tcW w:w="9638" w:type="dxa"/>
            <w:tcBorders>
              <w:top w:val="single" w:sz="4" w:space="0" w:color="auto"/>
              <w:left w:val="single" w:sz="4" w:space="0" w:color="auto"/>
              <w:bottom w:val="nil"/>
              <w:right w:val="single" w:sz="4" w:space="0" w:color="auto"/>
            </w:tcBorders>
            <w:shd w:val="clear" w:color="auto" w:fill="FFFFFF"/>
          </w:tcPr>
          <w:p w14:paraId="7D68EDA8" w14:textId="77777777" w:rsidR="00795E60" w:rsidRDefault="00F56376">
            <w:pPr>
              <w:pStyle w:val="Tabellcell"/>
            </w:pPr>
            <w:r>
              <w:rPr>
                <w:b/>
              </w:rPr>
              <w:t>Nuvarande rutin ska uppdateras. Genomföra stickprovskontroller att rutinen efterlevs.</w:t>
            </w:r>
          </w:p>
        </w:tc>
      </w:tr>
      <w:tr w:rsidR="00FC2AD8" w14:paraId="475A18F9" w14:textId="77777777">
        <w:trPr>
          <w:cantSplit w:val="0"/>
        </w:trPr>
        <w:tc>
          <w:tcPr>
            <w:tcW w:w="9638" w:type="dxa"/>
            <w:tcBorders>
              <w:top w:val="nil"/>
              <w:left w:val="single" w:sz="4" w:space="0" w:color="auto"/>
              <w:bottom w:val="single" w:sz="4" w:space="0" w:color="auto"/>
              <w:right w:val="single" w:sz="4" w:space="0" w:color="auto"/>
            </w:tcBorders>
            <w:shd w:val="clear" w:color="auto" w:fill="FFFFFF"/>
          </w:tcPr>
          <w:p w14:paraId="6128DE22" w14:textId="77777777" w:rsidR="00795E60" w:rsidRDefault="00F56376">
            <w:pPr>
              <w:pStyle w:val="Tabellcell"/>
              <w:widowControl w:val="0"/>
            </w:pPr>
            <w:r>
              <w:rPr>
                <w:b/>
                <w:i/>
              </w:rPr>
              <w:t>Kommentar</w:t>
            </w:r>
          </w:p>
          <w:p w14:paraId="77DEA167" w14:textId="77777777" w:rsidR="00795E60" w:rsidRDefault="00F56376">
            <w:pPr>
              <w:pStyle w:val="Tabellcell"/>
              <w:widowControl w:val="0"/>
            </w:pPr>
            <w:r>
              <w:t>Inom regionkansliets verksamheter finns ett inköpskort som används för betalning av Facebook-annonser och där inköpskort är enda betalningsalternativ. Samtliga inköp har granskats. Granskning visar att samtliga betalningar avser ovan nämnda ändamål och har rätt kontering. Rutinen följs även av övriga förvaltningar.</w:t>
            </w:r>
          </w:p>
          <w:p w14:paraId="32E2F191" w14:textId="77777777" w:rsidR="00795E60" w:rsidRDefault="00F56376">
            <w:pPr>
              <w:pStyle w:val="Tabellcell"/>
              <w:widowControl w:val="0"/>
              <w:numPr>
                <w:ilvl w:val="0"/>
                <w:numId w:val="19"/>
              </w:numPr>
            </w:pPr>
            <w:r>
              <w:t>Åtgärden är avslutad.</w:t>
            </w:r>
          </w:p>
        </w:tc>
      </w:tr>
    </w:tbl>
    <w:p w14:paraId="667CE55E" w14:textId="77777777" w:rsidR="00795E60" w:rsidRDefault="00F56376">
      <w:pPr>
        <w:pStyle w:val="Rubrik4"/>
      </w:pPr>
      <w:r>
        <w:t>Risken att det finns områden inom nämndens verksamheter där välfärdsbrottslighet kan förekomma.</w:t>
      </w:r>
    </w:p>
    <w:tbl>
      <w:tblPr>
        <w:tblStyle w:val="Tabellrutnt"/>
        <w:tblOverlap w:val="never"/>
        <w:tblW w:w="0" w:type="auto"/>
        <w:tblLook w:val="04A0" w:firstRow="1" w:lastRow="0" w:firstColumn="1" w:lastColumn="0" w:noHBand="0" w:noVBand="1"/>
      </w:tblPr>
      <w:tblGrid>
        <w:gridCol w:w="9628"/>
      </w:tblGrid>
      <w:tr w:rsidR="00FC2AD8" w14:paraId="7CEF4C0F" w14:textId="77777777">
        <w:trPr>
          <w:cantSplit w:val="0"/>
          <w:tblHeader/>
        </w:trPr>
        <w:tc>
          <w:tcPr>
            <w:tcW w:w="9638" w:type="dxa"/>
            <w:tcBorders>
              <w:top w:val="single" w:sz="4" w:space="0" w:color="auto"/>
              <w:left w:val="single" w:sz="4" w:space="0" w:color="auto"/>
              <w:bottom w:val="single" w:sz="4" w:space="0" w:color="auto"/>
              <w:right w:val="single" w:sz="4" w:space="0" w:color="auto"/>
            </w:tcBorders>
            <w:shd w:val="clear" w:color="auto" w:fill="E1E9F2"/>
            <w:vAlign w:val="center"/>
          </w:tcPr>
          <w:p w14:paraId="607829FA" w14:textId="77777777" w:rsidR="00795E60" w:rsidRDefault="00F56376">
            <w:pPr>
              <w:pStyle w:val="Tabellcell"/>
            </w:pPr>
            <w:r>
              <w:rPr>
                <w:b/>
              </w:rPr>
              <w:t>Åtgärd</w:t>
            </w:r>
          </w:p>
        </w:tc>
      </w:tr>
      <w:tr w:rsidR="00FC2AD8" w14:paraId="2A9820F3" w14:textId="77777777">
        <w:trPr>
          <w:cantSplit w:val="0"/>
        </w:trPr>
        <w:tc>
          <w:tcPr>
            <w:tcW w:w="9638" w:type="dxa"/>
            <w:tcBorders>
              <w:top w:val="single" w:sz="4" w:space="0" w:color="auto"/>
              <w:left w:val="single" w:sz="4" w:space="0" w:color="auto"/>
              <w:bottom w:val="nil"/>
              <w:right w:val="single" w:sz="4" w:space="0" w:color="auto"/>
            </w:tcBorders>
            <w:shd w:val="clear" w:color="auto" w:fill="FFFFFF"/>
          </w:tcPr>
          <w:p w14:paraId="0345DF67" w14:textId="77777777" w:rsidR="00795E60" w:rsidRDefault="00F56376">
            <w:pPr>
              <w:pStyle w:val="Tabellcell"/>
            </w:pPr>
            <w:r>
              <w:rPr>
                <w:b/>
              </w:rPr>
              <w:t xml:space="preserve">Gör en risk och väsentlighetsanalys för att </w:t>
            </w:r>
            <w:r>
              <w:rPr>
                <w:b/>
              </w:rPr>
              <w:t>grundligt genomlysa var inom nämndens verksamheter där välfärdsbrottslighet kan förekomma. Baserat på analysens resultat ta fram konkreta åtgärder för att minimera eventuella risker.</w:t>
            </w:r>
          </w:p>
        </w:tc>
      </w:tr>
      <w:tr w:rsidR="00FC2AD8" w14:paraId="4DE3D7CF" w14:textId="77777777">
        <w:trPr>
          <w:cantSplit w:val="0"/>
        </w:trPr>
        <w:tc>
          <w:tcPr>
            <w:tcW w:w="9638" w:type="dxa"/>
            <w:tcBorders>
              <w:top w:val="nil"/>
              <w:left w:val="single" w:sz="4" w:space="0" w:color="auto"/>
              <w:bottom w:val="single" w:sz="4" w:space="0" w:color="auto"/>
              <w:right w:val="single" w:sz="4" w:space="0" w:color="auto"/>
            </w:tcBorders>
            <w:shd w:val="clear" w:color="auto" w:fill="FFFFFF"/>
          </w:tcPr>
          <w:p w14:paraId="2934DC67" w14:textId="77777777" w:rsidR="00795E60" w:rsidRDefault="00F56376">
            <w:pPr>
              <w:pStyle w:val="Tabellcell"/>
              <w:widowControl w:val="0"/>
            </w:pPr>
            <w:r>
              <w:rPr>
                <w:b/>
                <w:i/>
              </w:rPr>
              <w:t>Kommentar</w:t>
            </w:r>
          </w:p>
          <w:p w14:paraId="6BF828E4" w14:textId="77777777" w:rsidR="00795E60" w:rsidRDefault="00F56376">
            <w:pPr>
              <w:pStyle w:val="Tabellcell"/>
              <w:widowControl w:val="0"/>
            </w:pPr>
            <w:r>
              <w:t xml:space="preserve">Under hösten 2025 har en hel del </w:t>
            </w:r>
            <w:r>
              <w:t>kompetenshöjande åtgärder genomförts i syfte att bli bättre på att risk- och väsentlighetsanalysera verksamheten. Detta har gjorts i syfte av att identifiera ytor som i verksamheten är exponerade för välfärdsbrottslighet, samt utarbeta nya rutiner och åtgärdsplaner. Många delar i verksamheten har analyserat sina verksamheter och i en vissa fall har rutiner för kontroller uppdaterats. Åtgärden löper över flera år, men kan för år 2025 anses som genomförd</w:t>
            </w:r>
          </w:p>
          <w:p w14:paraId="2A45ABFD" w14:textId="77777777" w:rsidR="00795E60" w:rsidRDefault="00F56376">
            <w:pPr>
              <w:pStyle w:val="Tabellcell"/>
              <w:widowControl w:val="0"/>
              <w:numPr>
                <w:ilvl w:val="0"/>
                <w:numId w:val="19"/>
              </w:numPr>
            </w:pPr>
            <w:r>
              <w:t>Åtgärden är avslutad.</w:t>
            </w:r>
          </w:p>
        </w:tc>
      </w:tr>
    </w:tbl>
    <w:p w14:paraId="38DB044E" w14:textId="77777777" w:rsidR="00795E60" w:rsidRDefault="00F56376">
      <w:pPr>
        <w:pStyle w:val="Rubrik3"/>
      </w:pPr>
      <w:r>
        <w:t>Informationssäkerhet</w:t>
      </w:r>
    </w:p>
    <w:p w14:paraId="4540F196" w14:textId="77777777" w:rsidR="00795E60" w:rsidRDefault="00F56376">
      <w:pPr>
        <w:pStyle w:val="Rubrik4"/>
      </w:pPr>
      <w:r>
        <w:t>Risken att verksamheten inte efterlever tillämplig dataskyddslagstiftning (GDPR och Patientdatalagen). Samt NIS-direktivet och lag (2018:1174) om informationssäkerhet för samhällsviktiga och digitala tjänster.</w:t>
      </w:r>
    </w:p>
    <w:tbl>
      <w:tblPr>
        <w:tblStyle w:val="Tabellrutnt"/>
        <w:tblOverlap w:val="never"/>
        <w:tblW w:w="0" w:type="auto"/>
        <w:tblLook w:val="04A0" w:firstRow="1" w:lastRow="0" w:firstColumn="1" w:lastColumn="0" w:noHBand="0" w:noVBand="1"/>
      </w:tblPr>
      <w:tblGrid>
        <w:gridCol w:w="9628"/>
      </w:tblGrid>
      <w:tr w:rsidR="00FC2AD8" w14:paraId="57E0D993" w14:textId="77777777">
        <w:trPr>
          <w:cantSplit w:val="0"/>
          <w:tblHeader/>
        </w:trPr>
        <w:tc>
          <w:tcPr>
            <w:tcW w:w="9638" w:type="dxa"/>
            <w:tcBorders>
              <w:top w:val="single" w:sz="4" w:space="0" w:color="auto"/>
              <w:left w:val="single" w:sz="4" w:space="0" w:color="auto"/>
              <w:bottom w:val="single" w:sz="4" w:space="0" w:color="auto"/>
              <w:right w:val="single" w:sz="4" w:space="0" w:color="auto"/>
            </w:tcBorders>
            <w:shd w:val="clear" w:color="auto" w:fill="E1E9F2"/>
            <w:vAlign w:val="center"/>
          </w:tcPr>
          <w:p w14:paraId="6780EBBF" w14:textId="77777777" w:rsidR="00795E60" w:rsidRDefault="00F56376">
            <w:pPr>
              <w:pStyle w:val="Tabellcell"/>
            </w:pPr>
            <w:r>
              <w:rPr>
                <w:b/>
              </w:rPr>
              <w:t>Åtgärd</w:t>
            </w:r>
          </w:p>
        </w:tc>
      </w:tr>
      <w:tr w:rsidR="00FC2AD8" w14:paraId="0B3A9673" w14:textId="77777777">
        <w:trPr>
          <w:cantSplit w:val="0"/>
        </w:trPr>
        <w:tc>
          <w:tcPr>
            <w:tcW w:w="9638" w:type="dxa"/>
            <w:tcBorders>
              <w:top w:val="single" w:sz="4" w:space="0" w:color="auto"/>
              <w:left w:val="single" w:sz="4" w:space="0" w:color="auto"/>
              <w:bottom w:val="nil"/>
              <w:right w:val="single" w:sz="4" w:space="0" w:color="auto"/>
            </w:tcBorders>
            <w:shd w:val="clear" w:color="auto" w:fill="FFFFFF"/>
          </w:tcPr>
          <w:p w14:paraId="6807B86A" w14:textId="77777777" w:rsidR="00795E60" w:rsidRDefault="00F56376">
            <w:pPr>
              <w:pStyle w:val="Tabellcell"/>
            </w:pPr>
            <w:r>
              <w:rPr>
                <w:b/>
              </w:rPr>
              <w:t xml:space="preserve">Säkerställ att det finns ett väl </w:t>
            </w:r>
            <w:r>
              <w:rPr>
                <w:b/>
              </w:rPr>
              <w:t>fungerande och systematiskt informationssäkerhetsarbete utifrån identifierade risker med utsedda resurser. All personal ska dessutom ha god kunskap om relevanta regelverk för informationssäkerhet och kunna riskbedöma samt informationsklassa information i sitt arbete.</w:t>
            </w:r>
          </w:p>
        </w:tc>
      </w:tr>
      <w:tr w:rsidR="00FC2AD8" w14:paraId="260EC8B1" w14:textId="77777777">
        <w:trPr>
          <w:cantSplit w:val="0"/>
        </w:trPr>
        <w:tc>
          <w:tcPr>
            <w:tcW w:w="9638" w:type="dxa"/>
            <w:tcBorders>
              <w:top w:val="nil"/>
              <w:left w:val="single" w:sz="4" w:space="0" w:color="auto"/>
              <w:bottom w:val="single" w:sz="4" w:space="0" w:color="auto"/>
              <w:right w:val="single" w:sz="4" w:space="0" w:color="auto"/>
            </w:tcBorders>
            <w:shd w:val="clear" w:color="auto" w:fill="FFFFFF"/>
          </w:tcPr>
          <w:p w14:paraId="61AA6862" w14:textId="77777777" w:rsidR="00795E60" w:rsidRDefault="00F56376">
            <w:pPr>
              <w:pStyle w:val="Tabellcell"/>
              <w:widowControl w:val="0"/>
            </w:pPr>
            <w:r>
              <w:rPr>
                <w:b/>
                <w:i/>
              </w:rPr>
              <w:lastRenderedPageBreak/>
              <w:t>Kommentar</w:t>
            </w:r>
          </w:p>
          <w:p w14:paraId="617350B1" w14:textId="77777777" w:rsidR="00795E60" w:rsidRDefault="00F56376">
            <w:pPr>
              <w:pStyle w:val="Tabellcell"/>
              <w:widowControl w:val="0"/>
            </w:pPr>
            <w:r>
              <w:t>Vi har en stående representant i informationssäkerhetsrådet och arbete som åläggs verksamheterna kommer via den kanalen. Objektägare på förvaltningen har också gått utbildning i informationsklassning i KLASSA.</w:t>
            </w:r>
          </w:p>
          <w:p w14:paraId="1FEB6F05" w14:textId="77777777" w:rsidR="00795E60" w:rsidRDefault="00F56376">
            <w:pPr>
              <w:pStyle w:val="Tabellcell"/>
              <w:widowControl w:val="0"/>
              <w:numPr>
                <w:ilvl w:val="0"/>
                <w:numId w:val="19"/>
              </w:numPr>
            </w:pPr>
            <w:r>
              <w:t xml:space="preserve">Åtgärden är </w:t>
            </w:r>
            <w:r>
              <w:t>avslutad.</w:t>
            </w:r>
          </w:p>
        </w:tc>
      </w:tr>
      <w:tr w:rsidR="00FC2AD8" w14:paraId="5195D943" w14:textId="77777777">
        <w:trPr>
          <w:cantSplit w:val="0"/>
        </w:trPr>
        <w:tc>
          <w:tcPr>
            <w:tcW w:w="9638" w:type="dxa"/>
            <w:tcBorders>
              <w:top w:val="single" w:sz="4" w:space="0" w:color="auto"/>
              <w:left w:val="single" w:sz="4" w:space="0" w:color="auto"/>
              <w:bottom w:val="nil"/>
              <w:right w:val="single" w:sz="4" w:space="0" w:color="auto"/>
            </w:tcBorders>
            <w:shd w:val="clear" w:color="auto" w:fill="FFFFFF"/>
          </w:tcPr>
          <w:p w14:paraId="2035F8C8" w14:textId="77777777" w:rsidR="00795E60" w:rsidRDefault="00F56376">
            <w:pPr>
              <w:pStyle w:val="Tabellcell"/>
            </w:pPr>
            <w:r>
              <w:rPr>
                <w:b/>
              </w:rPr>
              <w:t>Säkerställ att informationsklassning av IT-stöd som saknar informationsägare genomförs i enlighet med riktlinjen för informationsklassning.</w:t>
            </w:r>
          </w:p>
        </w:tc>
      </w:tr>
      <w:tr w:rsidR="00FC2AD8" w14:paraId="0FF33A76" w14:textId="77777777">
        <w:trPr>
          <w:cantSplit w:val="0"/>
        </w:trPr>
        <w:tc>
          <w:tcPr>
            <w:tcW w:w="9638" w:type="dxa"/>
            <w:tcBorders>
              <w:top w:val="nil"/>
              <w:left w:val="single" w:sz="4" w:space="0" w:color="auto"/>
              <w:bottom w:val="single" w:sz="4" w:space="0" w:color="auto"/>
              <w:right w:val="single" w:sz="4" w:space="0" w:color="auto"/>
            </w:tcBorders>
            <w:shd w:val="clear" w:color="auto" w:fill="FFFFFF"/>
          </w:tcPr>
          <w:p w14:paraId="7CBCB98D" w14:textId="77777777" w:rsidR="00795E60" w:rsidRDefault="00F56376">
            <w:pPr>
              <w:pStyle w:val="Tabellcell"/>
              <w:widowControl w:val="0"/>
            </w:pPr>
            <w:r>
              <w:rPr>
                <w:b/>
                <w:i/>
              </w:rPr>
              <w:t>Kommentar</w:t>
            </w:r>
          </w:p>
          <w:p w14:paraId="6F274ABC" w14:textId="77777777" w:rsidR="00795E60" w:rsidRDefault="00F56376">
            <w:pPr>
              <w:pStyle w:val="Tabellcell"/>
              <w:widowControl w:val="0"/>
            </w:pPr>
            <w:r>
              <w:t>Vi har genomfört en del nya informationsklassningar och riskanalyser.</w:t>
            </w:r>
          </w:p>
          <w:p w14:paraId="516AF985" w14:textId="77777777" w:rsidR="00795E60" w:rsidRDefault="00F56376">
            <w:pPr>
              <w:pStyle w:val="Tabellcell"/>
              <w:widowControl w:val="0"/>
              <w:numPr>
                <w:ilvl w:val="0"/>
                <w:numId w:val="19"/>
              </w:numPr>
            </w:pPr>
            <w:r>
              <w:t>Åtgärden är avslutad.</w:t>
            </w:r>
          </w:p>
        </w:tc>
      </w:tr>
      <w:tr w:rsidR="00FC2AD8" w14:paraId="56E73537" w14:textId="77777777">
        <w:trPr>
          <w:cantSplit w:val="0"/>
        </w:trPr>
        <w:tc>
          <w:tcPr>
            <w:tcW w:w="9638" w:type="dxa"/>
            <w:tcBorders>
              <w:top w:val="single" w:sz="4" w:space="0" w:color="auto"/>
              <w:left w:val="single" w:sz="4" w:space="0" w:color="auto"/>
              <w:bottom w:val="nil"/>
              <w:right w:val="single" w:sz="4" w:space="0" w:color="auto"/>
            </w:tcBorders>
            <w:shd w:val="clear" w:color="auto" w:fill="FFFFFF"/>
          </w:tcPr>
          <w:p w14:paraId="01167DDD" w14:textId="77777777" w:rsidR="00795E60" w:rsidRDefault="00F56376">
            <w:pPr>
              <w:pStyle w:val="Tabellcell"/>
            </w:pPr>
            <w:r>
              <w:rPr>
                <w:b/>
              </w:rPr>
              <w:t>Informationsägare/objektägare ska säkerställa att identifierade informationssäkerhetsbrister åtgärdas.</w:t>
            </w:r>
          </w:p>
        </w:tc>
      </w:tr>
      <w:tr w:rsidR="00FC2AD8" w14:paraId="1B36C4DE" w14:textId="77777777">
        <w:trPr>
          <w:cantSplit w:val="0"/>
        </w:trPr>
        <w:tc>
          <w:tcPr>
            <w:tcW w:w="9638" w:type="dxa"/>
            <w:tcBorders>
              <w:top w:val="nil"/>
              <w:left w:val="single" w:sz="4" w:space="0" w:color="auto"/>
              <w:bottom w:val="single" w:sz="4" w:space="0" w:color="auto"/>
              <w:right w:val="single" w:sz="4" w:space="0" w:color="auto"/>
            </w:tcBorders>
            <w:shd w:val="clear" w:color="auto" w:fill="FFFFFF"/>
          </w:tcPr>
          <w:p w14:paraId="7EF16614" w14:textId="77777777" w:rsidR="00795E60" w:rsidRDefault="00F56376">
            <w:pPr>
              <w:pStyle w:val="Tabellcell"/>
              <w:widowControl w:val="0"/>
            </w:pPr>
            <w:r>
              <w:rPr>
                <w:b/>
                <w:i/>
              </w:rPr>
              <w:t>Kommentar</w:t>
            </w:r>
          </w:p>
          <w:p w14:paraId="0DE6168A" w14:textId="77777777" w:rsidR="00795E60" w:rsidRDefault="00F56376">
            <w:pPr>
              <w:pStyle w:val="Tabellcell"/>
              <w:widowControl w:val="0"/>
            </w:pPr>
            <w:r>
              <w:t>Utifrån genomförda informationsklassningar pågår arbetet med åtgärder.</w:t>
            </w:r>
          </w:p>
          <w:p w14:paraId="4EFB569E" w14:textId="77777777" w:rsidR="00795E60" w:rsidRDefault="00F56376">
            <w:pPr>
              <w:pStyle w:val="Tabellcell"/>
              <w:widowControl w:val="0"/>
              <w:numPr>
                <w:ilvl w:val="0"/>
                <w:numId w:val="19"/>
              </w:numPr>
            </w:pPr>
            <w:r>
              <w:t>Åtgärden är avslutad.</w:t>
            </w:r>
          </w:p>
        </w:tc>
      </w:tr>
    </w:tbl>
    <w:p w14:paraId="1F2B277B" w14:textId="77777777" w:rsidR="00795E60" w:rsidRDefault="00F56376">
      <w:pPr>
        <w:pStyle w:val="Rubrik2"/>
      </w:pPr>
      <w:bookmarkStart w:id="19" w:name="_Toc220678309"/>
      <w:r>
        <w:t>ISK-bedömning</w:t>
      </w:r>
      <w:bookmarkEnd w:id="19"/>
    </w:p>
    <w:tbl>
      <w:tblPr>
        <w:tblStyle w:val="Tabellrutnt"/>
        <w:tblOverlap w:val="never"/>
        <w:tblW w:w="0" w:type="auto"/>
        <w:tblLayout w:type="fixed"/>
        <w:tblLook w:val="04A0" w:firstRow="1" w:lastRow="0" w:firstColumn="1" w:lastColumn="0" w:noHBand="0" w:noVBand="1"/>
      </w:tblPr>
      <w:tblGrid>
        <w:gridCol w:w="3915"/>
        <w:gridCol w:w="904"/>
        <w:gridCol w:w="4819"/>
      </w:tblGrid>
      <w:tr w:rsidR="00FC2AD8" w14:paraId="6A600BF1" w14:textId="77777777">
        <w:trPr>
          <w:cantSplit w:val="0"/>
          <w:tblHeader/>
        </w:trPr>
        <w:tc>
          <w:tcPr>
            <w:tcW w:w="3915" w:type="dxa"/>
            <w:tcBorders>
              <w:top w:val="single" w:sz="4" w:space="0" w:color="auto"/>
              <w:left w:val="single" w:sz="4" w:space="0" w:color="auto"/>
              <w:bottom w:val="single" w:sz="4" w:space="0" w:color="auto"/>
              <w:right w:val="single" w:sz="4" w:space="0" w:color="auto"/>
            </w:tcBorders>
            <w:shd w:val="clear" w:color="auto" w:fill="E5E5E5"/>
            <w:vAlign w:val="center"/>
          </w:tcPr>
          <w:p w14:paraId="55966150" w14:textId="77777777" w:rsidR="00795E60" w:rsidRDefault="00F56376">
            <w:pPr>
              <w:pStyle w:val="Tabellcell"/>
            </w:pPr>
            <w:r>
              <w:rPr>
                <w:b/>
              </w:rPr>
              <w:t>Ändamålsenlighet</w:t>
            </w:r>
          </w:p>
        </w:tc>
        <w:tc>
          <w:tcPr>
            <w:tcW w:w="904" w:type="dxa"/>
            <w:tcBorders>
              <w:top w:val="single" w:sz="4" w:space="0" w:color="auto"/>
              <w:left w:val="single" w:sz="4" w:space="0" w:color="auto"/>
              <w:bottom w:val="single" w:sz="4" w:space="0" w:color="auto"/>
              <w:right w:val="single" w:sz="4" w:space="0" w:color="auto"/>
            </w:tcBorders>
            <w:shd w:val="clear" w:color="auto" w:fill="E5E5E5"/>
            <w:vAlign w:val="center"/>
          </w:tcPr>
          <w:p w14:paraId="05202CC8" w14:textId="77777777" w:rsidR="00795E60" w:rsidRDefault="00F56376">
            <w:pPr>
              <w:pStyle w:val="Tabellcell"/>
            </w:pPr>
            <w:r>
              <w:rPr>
                <w:b/>
              </w:rPr>
              <w:t>Ange Ja/Nej</w:t>
            </w:r>
          </w:p>
        </w:tc>
        <w:tc>
          <w:tcPr>
            <w:tcW w:w="4819" w:type="dxa"/>
            <w:tcBorders>
              <w:top w:val="single" w:sz="4" w:space="0" w:color="auto"/>
              <w:left w:val="single" w:sz="4" w:space="0" w:color="auto"/>
              <w:bottom w:val="single" w:sz="4" w:space="0" w:color="auto"/>
              <w:right w:val="single" w:sz="4" w:space="0" w:color="auto"/>
            </w:tcBorders>
            <w:shd w:val="clear" w:color="auto" w:fill="E5E5E5"/>
            <w:vAlign w:val="center"/>
          </w:tcPr>
          <w:p w14:paraId="3E62ABA7" w14:textId="77777777" w:rsidR="00795E60" w:rsidRDefault="00F56376">
            <w:pPr>
              <w:pStyle w:val="Tabellcell"/>
            </w:pPr>
            <w:r>
              <w:rPr>
                <w:b/>
              </w:rPr>
              <w:t xml:space="preserve">Ev. </w:t>
            </w:r>
            <w:r>
              <w:rPr>
                <w:b/>
              </w:rPr>
              <w:t>kommentar/ Om förslag till förbättringar finns ange dem</w:t>
            </w:r>
          </w:p>
        </w:tc>
      </w:tr>
      <w:tr w:rsidR="00FC2AD8" w14:paraId="460CF416" w14:textId="77777777">
        <w:trPr>
          <w:cantSplit w:val="0"/>
        </w:trPr>
        <w:tc>
          <w:tcPr>
            <w:tcW w:w="3915" w:type="dxa"/>
            <w:tcBorders>
              <w:top w:val="single" w:sz="4" w:space="0" w:color="auto"/>
              <w:left w:val="single" w:sz="4" w:space="0" w:color="auto"/>
              <w:bottom w:val="single" w:sz="4" w:space="0" w:color="auto"/>
              <w:right w:val="single" w:sz="4" w:space="0" w:color="auto"/>
            </w:tcBorders>
            <w:shd w:val="clear" w:color="auto" w:fill="FFFFFF"/>
          </w:tcPr>
          <w:p w14:paraId="01B71A6F" w14:textId="77777777" w:rsidR="00795E60" w:rsidRDefault="00F56376">
            <w:pPr>
              <w:pStyle w:val="Tabellcell"/>
            </w:pPr>
            <w:r>
              <w:t>Upplevs den interna styrningen och kontrollen som en integrerad del av planeringen, genomförandet, uppföljningen och förbättringen av verksamheten?</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687DCDCB" w14:textId="77777777" w:rsidR="00795E60" w:rsidRDefault="00F56376">
            <w:pPr>
              <w:pStyle w:val="Tabellcell"/>
            </w:pPr>
            <w:r>
              <w:t>Ja</w:t>
            </w:r>
          </w:p>
        </w:tc>
        <w:tc>
          <w:tcPr>
            <w:tcW w:w="48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D4CCACD" w14:textId="77777777" w:rsidR="00795E60" w:rsidRDefault="00795E60">
            <w:pPr>
              <w:pStyle w:val="Tabellcell"/>
            </w:pPr>
          </w:p>
        </w:tc>
      </w:tr>
      <w:tr w:rsidR="00FC2AD8" w14:paraId="25572DB9" w14:textId="77777777">
        <w:trPr>
          <w:cantSplit w:val="0"/>
        </w:trPr>
        <w:tc>
          <w:tcPr>
            <w:tcW w:w="3915" w:type="dxa"/>
            <w:tcBorders>
              <w:top w:val="single" w:sz="4" w:space="0" w:color="auto"/>
              <w:left w:val="single" w:sz="4" w:space="0" w:color="auto"/>
              <w:bottom w:val="single" w:sz="4" w:space="0" w:color="auto"/>
              <w:right w:val="single" w:sz="4" w:space="0" w:color="auto"/>
            </w:tcBorders>
            <w:shd w:val="clear" w:color="auto" w:fill="FFFFFF"/>
          </w:tcPr>
          <w:p w14:paraId="79FCD31E" w14:textId="77777777" w:rsidR="00795E60" w:rsidRDefault="00F56376">
            <w:pPr>
              <w:pStyle w:val="Tabellcell"/>
            </w:pPr>
            <w:r>
              <w:t xml:space="preserve">Upplevs den interna styrningen och </w:t>
            </w:r>
            <w:r>
              <w:t>kontrollen bidra till en ändamålsenlig och lagenlig verksamhet; att verksamheten bedrivs i enlighet med krav a-e?</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733C3203" w14:textId="77777777" w:rsidR="00795E60" w:rsidRDefault="00F56376">
            <w:pPr>
              <w:pStyle w:val="Tabellcell"/>
            </w:pPr>
            <w:r>
              <w:t>Ja</w:t>
            </w:r>
          </w:p>
        </w:tc>
        <w:tc>
          <w:tcPr>
            <w:tcW w:w="48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75790B4" w14:textId="77777777" w:rsidR="00795E60" w:rsidRDefault="00795E60">
            <w:pPr>
              <w:pStyle w:val="Tabellcell"/>
            </w:pPr>
          </w:p>
        </w:tc>
      </w:tr>
      <w:tr w:rsidR="00FC2AD8" w14:paraId="587A9686" w14:textId="77777777">
        <w:trPr>
          <w:cantSplit w:val="0"/>
        </w:trPr>
        <w:tc>
          <w:tcPr>
            <w:tcW w:w="3915" w:type="dxa"/>
            <w:tcBorders>
              <w:top w:val="single" w:sz="4" w:space="0" w:color="auto"/>
              <w:left w:val="single" w:sz="4" w:space="0" w:color="auto"/>
              <w:bottom w:val="single" w:sz="4" w:space="0" w:color="auto"/>
              <w:right w:val="single" w:sz="4" w:space="0" w:color="auto"/>
            </w:tcBorders>
            <w:shd w:val="clear" w:color="auto" w:fill="FFFFFF"/>
            <w:vAlign w:val="center"/>
          </w:tcPr>
          <w:p w14:paraId="1C81CE01" w14:textId="77777777" w:rsidR="00795E60" w:rsidRDefault="00F56376">
            <w:pPr>
              <w:pStyle w:val="Tabellcell"/>
            </w:pPr>
            <w:r>
              <w:rPr>
                <w:b/>
              </w:rPr>
              <w:t>Tillämpning</w:t>
            </w:r>
          </w:p>
        </w:tc>
        <w:tc>
          <w:tcPr>
            <w:tcW w:w="9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AC8ADE4" w14:textId="77777777" w:rsidR="00795E60" w:rsidRDefault="00795E60">
            <w:pPr>
              <w:pStyle w:val="Tabellcell"/>
            </w:pPr>
          </w:p>
        </w:tc>
        <w:tc>
          <w:tcPr>
            <w:tcW w:w="48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FC3E024" w14:textId="77777777" w:rsidR="00795E60" w:rsidRDefault="00795E60">
            <w:pPr>
              <w:pStyle w:val="Tabellcell"/>
            </w:pPr>
          </w:p>
        </w:tc>
      </w:tr>
      <w:tr w:rsidR="00FC2AD8" w14:paraId="26E54019" w14:textId="77777777">
        <w:trPr>
          <w:cantSplit w:val="0"/>
        </w:trPr>
        <w:tc>
          <w:tcPr>
            <w:tcW w:w="3915" w:type="dxa"/>
            <w:tcBorders>
              <w:top w:val="single" w:sz="4" w:space="0" w:color="auto"/>
              <w:left w:val="single" w:sz="4" w:space="0" w:color="auto"/>
              <w:bottom w:val="single" w:sz="4" w:space="0" w:color="auto"/>
              <w:right w:val="single" w:sz="4" w:space="0" w:color="auto"/>
            </w:tcBorders>
            <w:shd w:val="clear" w:color="auto" w:fill="FFFFFF"/>
            <w:vAlign w:val="center"/>
          </w:tcPr>
          <w:p w14:paraId="71ED7D86" w14:textId="77777777" w:rsidR="00795E60" w:rsidRDefault="00F56376">
            <w:pPr>
              <w:pStyle w:val="Tabellcell"/>
            </w:pPr>
            <w:r>
              <w:t xml:space="preserve">Finns dokumentation att tillgå som visar hela processen för den interna styrningen? (identifiera </w:t>
            </w:r>
            <w:r>
              <w:t>framgångsfaktorer, värdera framgångsfaktorer, ta fram och besluta aktiviteter samt följa upp och utvärdera aktiviteter)</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3EF57EA2" w14:textId="77777777" w:rsidR="00795E60" w:rsidRDefault="00F56376">
            <w:pPr>
              <w:pStyle w:val="Tabellcell"/>
            </w:pPr>
            <w:r>
              <w:t>Ja</w:t>
            </w:r>
          </w:p>
        </w:tc>
        <w:tc>
          <w:tcPr>
            <w:tcW w:w="48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B07D78E" w14:textId="77777777" w:rsidR="00795E60" w:rsidRDefault="00795E60">
            <w:pPr>
              <w:pStyle w:val="Tabellcell"/>
            </w:pPr>
          </w:p>
        </w:tc>
      </w:tr>
      <w:tr w:rsidR="00FC2AD8" w14:paraId="5DB3B7D7" w14:textId="77777777">
        <w:trPr>
          <w:cantSplit w:val="0"/>
        </w:trPr>
        <w:tc>
          <w:tcPr>
            <w:tcW w:w="3915" w:type="dxa"/>
            <w:tcBorders>
              <w:top w:val="single" w:sz="4" w:space="0" w:color="auto"/>
              <w:left w:val="single" w:sz="4" w:space="0" w:color="auto"/>
              <w:bottom w:val="single" w:sz="4" w:space="0" w:color="auto"/>
              <w:right w:val="single" w:sz="4" w:space="0" w:color="auto"/>
            </w:tcBorders>
            <w:shd w:val="clear" w:color="auto" w:fill="FFFFFF"/>
            <w:vAlign w:val="center"/>
          </w:tcPr>
          <w:p w14:paraId="43D8CCEF" w14:textId="77777777" w:rsidR="00795E60" w:rsidRDefault="00F56376">
            <w:pPr>
              <w:pStyle w:val="Tabellcell"/>
            </w:pPr>
            <w:r>
              <w:t>Finns dokumentation att tillgå som visar hela processen för den interna kontrollen? (identifiera risker, värdera risker, ta fram och besluta åtgärder samt följa upp och utvärdera åtgärder)</w:t>
            </w:r>
          </w:p>
        </w:tc>
        <w:tc>
          <w:tcPr>
            <w:tcW w:w="904" w:type="dxa"/>
            <w:tcBorders>
              <w:top w:val="single" w:sz="4" w:space="0" w:color="auto"/>
              <w:left w:val="single" w:sz="4" w:space="0" w:color="auto"/>
              <w:bottom w:val="single" w:sz="4" w:space="0" w:color="auto"/>
              <w:right w:val="single" w:sz="4" w:space="0" w:color="auto"/>
            </w:tcBorders>
            <w:shd w:val="clear" w:color="auto" w:fill="FFFFFF"/>
          </w:tcPr>
          <w:p w14:paraId="6F3ABC19" w14:textId="77777777" w:rsidR="00795E60" w:rsidRDefault="00F56376">
            <w:pPr>
              <w:pStyle w:val="Tabellcell"/>
            </w:pPr>
            <w:r>
              <w:t>Ja</w:t>
            </w:r>
          </w:p>
        </w:tc>
        <w:tc>
          <w:tcPr>
            <w:tcW w:w="481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B4EEBAA" w14:textId="77777777" w:rsidR="00795E60" w:rsidRDefault="00795E60">
            <w:pPr>
              <w:pStyle w:val="Tabellcell"/>
            </w:pPr>
          </w:p>
        </w:tc>
      </w:tr>
    </w:tbl>
    <w:p w14:paraId="52A0A033" w14:textId="77777777" w:rsidR="00795E60" w:rsidRDefault="00F56376">
      <w:pPr>
        <w:pStyle w:val="BodyText"/>
        <w:widowControl w:val="0"/>
        <w:spacing w:before="160"/>
      </w:pPr>
      <w:r>
        <w:t xml:space="preserve">Den interna styrningen och kontrollen (ISK-processen) är en integrerad del av planeringen, genomförandet, uppföljningen och förbättringen av verksamheten inom nämndens område. Arbetet </w:t>
      </w:r>
      <w:r>
        <w:t>bidrar till att verksamheten bedrivs ändamålsenligt och lagenligt, det vill säga i enlighet med krav a-e. ISK-processen är dokumenterad i enlighet med Riktlinjen för intern styrning och kontroll.</w:t>
      </w:r>
    </w:p>
    <w:p w14:paraId="772EB059" w14:textId="77777777" w:rsidR="00795E60" w:rsidRDefault="00F56376">
      <w:pPr>
        <w:pStyle w:val="BodyText"/>
        <w:widowControl w:val="0"/>
      </w:pPr>
      <w:r>
        <w:t>Den interna styrningen och kontrollen är ändamålsenligt utformad och det beslutade arbetssättet har tillämpats i verksamheten. Nämnden bedömer därmed att den interna styrningen och kontrollen är tillräcklig.</w:t>
      </w:r>
    </w:p>
    <w:sectPr w:rsidR="00795E60" w:rsidSect="00A67127">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701" w:right="1134" w:bottom="1701" w:left="1134"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6097" w14:textId="77777777" w:rsidR="00F56376" w:rsidRDefault="00F56376">
      <w:pPr>
        <w:spacing w:after="0" w:line="240" w:lineRule="auto"/>
      </w:pPr>
      <w:r>
        <w:separator/>
      </w:r>
    </w:p>
  </w:endnote>
  <w:endnote w:type="continuationSeparator" w:id="0">
    <w:p w14:paraId="7344134F" w14:textId="77777777" w:rsidR="00F56376" w:rsidRDefault="00F5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6EF6" w14:textId="77777777" w:rsidR="00385B79" w:rsidRDefault="00385B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C261" w14:textId="77777777" w:rsidR="00FD14E4" w:rsidRPr="00FD14E4" w:rsidRDefault="00F56376" w:rsidP="00AB34D5">
    <w:pPr>
      <w:pStyle w:val="Sidfot"/>
      <w:pBdr>
        <w:top w:val="single" w:sz="4" w:space="0" w:color="auto"/>
      </w:pBdr>
      <w:tabs>
        <w:tab w:val="clear" w:pos="4536"/>
        <w:tab w:val="clear" w:pos="9072"/>
        <w:tab w:val="left" w:pos="6015"/>
        <w:tab w:val="right" w:pos="8505"/>
      </w:tabs>
      <w:rPr>
        <w:rFonts w:ascii="Arial" w:hAnsi="Arial" w:cs="Arial"/>
        <w:sz w:val="20"/>
        <w:szCs w:val="20"/>
      </w:rPr>
    </w:pPr>
    <w:r>
      <w:rPr>
        <w:rFonts w:ascii="Arial" w:hAnsi="Arial" w:cs="Arial"/>
        <w:sz w:val="20"/>
        <w:szCs w:val="20"/>
      </w:rPr>
      <w:t>Kulturnämnd  Verksamhetsberättelse</w:t>
    </w:r>
    <w:r>
      <w:ptab w:relativeTo="margin" w:alignment="right" w:leader="none"/>
    </w:r>
    <w:r w:rsidRPr="00A234E7">
      <w:rPr>
        <w:rFonts w:ascii="Arial" w:hAnsi="Arial" w:cs="Arial"/>
        <w:sz w:val="20"/>
        <w:szCs w:val="20"/>
      </w:rPr>
      <w:fldChar w:fldCharType="begin"/>
    </w:r>
    <w:r w:rsidRPr="00A234E7">
      <w:rPr>
        <w:rFonts w:ascii="Arial" w:hAnsi="Arial" w:cs="Arial"/>
        <w:sz w:val="20"/>
        <w:szCs w:val="20"/>
      </w:rPr>
      <w:instrText>PAGE</w:instrText>
    </w:r>
    <w:r w:rsidRPr="00A234E7">
      <w:rPr>
        <w:rFonts w:ascii="Arial" w:hAnsi="Arial" w:cs="Arial"/>
        <w:sz w:val="20"/>
        <w:szCs w:val="20"/>
      </w:rPr>
      <w:fldChar w:fldCharType="separate"/>
    </w:r>
    <w:r>
      <w:rPr>
        <w:rFonts w:ascii="Arial" w:hAnsi="Arial" w:cs="Arial"/>
        <w:noProof/>
        <w:sz w:val="20"/>
        <w:szCs w:val="20"/>
      </w:rPr>
      <w:t>2</w:t>
    </w:r>
    <w:r w:rsidRPr="00A234E7">
      <w:rPr>
        <w:rFonts w:ascii="Arial" w:hAnsi="Arial" w:cs="Arial"/>
        <w:sz w:val="20"/>
        <w:szCs w:val="20"/>
      </w:rPr>
      <w:fldChar w:fldCharType="end"/>
    </w:r>
    <w:r w:rsidRPr="00A234E7">
      <w:rPr>
        <w:rFonts w:ascii="Arial" w:hAnsi="Arial" w:cs="Arial"/>
        <w:sz w:val="20"/>
        <w:szCs w:val="20"/>
      </w:rPr>
      <w:t>(</w:t>
    </w:r>
    <w:r w:rsidRPr="00A234E7">
      <w:rPr>
        <w:rFonts w:ascii="Arial" w:hAnsi="Arial" w:cs="Arial"/>
        <w:sz w:val="20"/>
        <w:szCs w:val="20"/>
      </w:rPr>
      <w:fldChar w:fldCharType="begin"/>
    </w:r>
    <w:r w:rsidRPr="00A234E7">
      <w:rPr>
        <w:rFonts w:ascii="Arial" w:hAnsi="Arial" w:cs="Arial"/>
        <w:sz w:val="20"/>
        <w:szCs w:val="20"/>
      </w:rPr>
      <w:instrText>NUMPAGES</w:instrText>
    </w:r>
    <w:r w:rsidRPr="00A234E7">
      <w:rPr>
        <w:rFonts w:ascii="Arial" w:hAnsi="Arial" w:cs="Arial"/>
        <w:sz w:val="20"/>
        <w:szCs w:val="20"/>
      </w:rPr>
      <w:fldChar w:fldCharType="separate"/>
    </w:r>
    <w:r>
      <w:rPr>
        <w:rFonts w:ascii="Arial" w:hAnsi="Arial" w:cs="Arial"/>
        <w:noProof/>
        <w:sz w:val="20"/>
        <w:szCs w:val="20"/>
      </w:rPr>
      <w:t>2</w:t>
    </w:r>
    <w:r w:rsidRPr="00A234E7">
      <w:rPr>
        <w:rFonts w:ascii="Arial" w:hAnsi="Arial" w:cs="Arial"/>
        <w:sz w:val="20"/>
        <w:szCs w:val="20"/>
      </w:rPr>
      <w:fldChar w:fldCharType="end"/>
    </w:r>
    <w:r w:rsidRPr="00A234E7">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5488" w14:textId="77777777" w:rsidR="00385B79" w:rsidRDefault="00385B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9D54" w14:textId="77777777" w:rsidR="00F56376" w:rsidRDefault="00F56376">
      <w:pPr>
        <w:spacing w:after="0" w:line="240" w:lineRule="auto"/>
      </w:pPr>
      <w:r>
        <w:separator/>
      </w:r>
    </w:p>
  </w:footnote>
  <w:footnote w:type="continuationSeparator" w:id="0">
    <w:p w14:paraId="29C2B676" w14:textId="77777777" w:rsidR="00F56376" w:rsidRDefault="00F56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DC91" w14:textId="77777777" w:rsidR="00385B79" w:rsidRDefault="00385B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74BA" w14:textId="77777777" w:rsidR="00385B79" w:rsidRDefault="00F56376">
    <w:pPr>
      <w:pStyle w:val="Sidhuvud"/>
    </w:pPr>
    <w:r>
      <w:rPr>
        <w:noProof/>
        <w:lang w:eastAsia="sv-SE"/>
      </w:rPr>
      <w:drawing>
        <wp:anchor distT="0" distB="0" distL="114300" distR="114300" simplePos="0" relativeHeight="251659264" behindDoc="0" locked="0" layoutInCell="1" allowOverlap="1" wp14:anchorId="3362D49C" wp14:editId="718328A1">
          <wp:simplePos x="0" y="0"/>
          <wp:positionH relativeFrom="column">
            <wp:posOffset>-53340</wp:posOffset>
          </wp:positionH>
          <wp:positionV relativeFrom="paragraph">
            <wp:posOffset>-202565</wp:posOffset>
          </wp:positionV>
          <wp:extent cx="2203200" cy="482400"/>
          <wp:effectExtent l="0" t="0" r="6985"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gionOrebrolan1ra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200" cy="482400"/>
                  </a:xfrm>
                  <a:prstGeom prst="rect">
                    <a:avLst/>
                  </a:prstGeom>
                </pic:spPr>
              </pic:pic>
            </a:graphicData>
          </a:graphic>
          <wp14:sizeRelH relativeFrom="margin">
            <wp14:pctWidth>0</wp14:pctWidth>
          </wp14:sizeRelH>
          <wp14:sizeRelV relativeFrom="margin">
            <wp14:pctHeight>0</wp14:pctHeight>
          </wp14:sizeRelV>
        </wp:anchor>
      </w:drawing>
    </w:r>
  </w:p>
  <w:p w14:paraId="2EFBE07C" w14:textId="77777777" w:rsidR="00385B79" w:rsidRDefault="00385B79">
    <w:pPr>
      <w:pStyle w:val="Sidhuvud"/>
    </w:pPr>
  </w:p>
  <w:p w14:paraId="0FDFB184" w14:textId="77777777" w:rsidR="00385B79" w:rsidRDefault="00385B7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6FDD" w14:textId="77777777" w:rsidR="00385B79" w:rsidRDefault="00385B79">
    <w:pPr>
      <w:pStyle w:val="Sidhuvud"/>
    </w:pPr>
  </w:p>
  <w:p w14:paraId="14A3692C" w14:textId="77777777" w:rsidR="003C43D2" w:rsidRDefault="003C43D2"/>
  <w:p w14:paraId="5C068870" w14:textId="77777777" w:rsidR="00385B79" w:rsidRDefault="00F56376">
    <w:pPr>
      <w:pStyle w:val="Sidhuvud"/>
    </w:pPr>
    <w:r>
      <w:rPr>
        <w:noProof/>
        <w:lang w:eastAsia="sv-SE"/>
      </w:rPr>
      <w:drawing>
        <wp:anchor distT="0" distB="0" distL="114300" distR="114300" simplePos="0" relativeHeight="251658240" behindDoc="0" locked="0" layoutInCell="1" allowOverlap="1" wp14:anchorId="4FBA9F06" wp14:editId="457390CE">
          <wp:simplePos x="0" y="0"/>
          <wp:positionH relativeFrom="column">
            <wp:posOffset>-85725</wp:posOffset>
          </wp:positionH>
          <wp:positionV relativeFrom="paragraph">
            <wp:posOffset>-448310</wp:posOffset>
          </wp:positionV>
          <wp:extent cx="2203200" cy="482400"/>
          <wp:effectExtent l="0" t="0" r="6985"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gionOrebrolan1ra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200" cy="48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B2E02"/>
    <w:multiLevelType w:val="hybridMultilevel"/>
    <w:tmpl w:val="723CCC0E"/>
    <w:lvl w:ilvl="0" w:tplc="D87CB5D6">
      <w:start w:val="1"/>
      <w:numFmt w:val="decimal"/>
      <w:lvlText w:val="%1."/>
      <w:lvlJc w:val="left"/>
      <w:pPr>
        <w:ind w:left="720" w:hanging="360"/>
      </w:pPr>
    </w:lvl>
    <w:lvl w:ilvl="1" w:tplc="6DEEB166" w:tentative="1">
      <w:start w:val="1"/>
      <w:numFmt w:val="lowerLetter"/>
      <w:lvlText w:val="%2."/>
      <w:lvlJc w:val="left"/>
      <w:pPr>
        <w:ind w:left="1440" w:hanging="360"/>
      </w:pPr>
    </w:lvl>
    <w:lvl w:ilvl="2" w:tplc="28780450" w:tentative="1">
      <w:start w:val="1"/>
      <w:numFmt w:val="lowerRoman"/>
      <w:lvlText w:val="%3."/>
      <w:lvlJc w:val="right"/>
      <w:pPr>
        <w:ind w:left="2160" w:hanging="180"/>
      </w:pPr>
    </w:lvl>
    <w:lvl w:ilvl="3" w:tplc="E6584754" w:tentative="1">
      <w:start w:val="1"/>
      <w:numFmt w:val="decimal"/>
      <w:lvlText w:val="%4."/>
      <w:lvlJc w:val="left"/>
      <w:pPr>
        <w:ind w:left="2880" w:hanging="360"/>
      </w:pPr>
    </w:lvl>
    <w:lvl w:ilvl="4" w:tplc="C6DA3594" w:tentative="1">
      <w:start w:val="1"/>
      <w:numFmt w:val="lowerLetter"/>
      <w:lvlText w:val="%5."/>
      <w:lvlJc w:val="left"/>
      <w:pPr>
        <w:ind w:left="3600" w:hanging="360"/>
      </w:pPr>
    </w:lvl>
    <w:lvl w:ilvl="5" w:tplc="007C008E" w:tentative="1">
      <w:start w:val="1"/>
      <w:numFmt w:val="lowerRoman"/>
      <w:lvlText w:val="%6."/>
      <w:lvlJc w:val="right"/>
      <w:pPr>
        <w:ind w:left="4320" w:hanging="180"/>
      </w:pPr>
    </w:lvl>
    <w:lvl w:ilvl="6" w:tplc="B0A66180" w:tentative="1">
      <w:start w:val="1"/>
      <w:numFmt w:val="decimal"/>
      <w:lvlText w:val="%7."/>
      <w:lvlJc w:val="left"/>
      <w:pPr>
        <w:ind w:left="5040" w:hanging="360"/>
      </w:pPr>
    </w:lvl>
    <w:lvl w:ilvl="7" w:tplc="D77AF562" w:tentative="1">
      <w:start w:val="1"/>
      <w:numFmt w:val="lowerLetter"/>
      <w:lvlText w:val="%8."/>
      <w:lvlJc w:val="left"/>
      <w:pPr>
        <w:ind w:left="5760" w:hanging="360"/>
      </w:pPr>
    </w:lvl>
    <w:lvl w:ilvl="8" w:tplc="7CB6B23C"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55004632">
      <w:start w:val="1"/>
      <w:numFmt w:val="bullet"/>
      <w:lvlText w:val=""/>
      <w:lvlJc w:val="left"/>
      <w:pPr>
        <w:ind w:left="720" w:hanging="360"/>
      </w:pPr>
      <w:rPr>
        <w:rFonts w:ascii="Symbol" w:hAnsi="Symbol" w:hint="default"/>
      </w:rPr>
    </w:lvl>
    <w:lvl w:ilvl="1" w:tplc="8230FA28" w:tentative="1">
      <w:start w:val="1"/>
      <w:numFmt w:val="bullet"/>
      <w:lvlText w:val="o"/>
      <w:lvlJc w:val="left"/>
      <w:pPr>
        <w:ind w:left="1440" w:hanging="360"/>
      </w:pPr>
      <w:rPr>
        <w:rFonts w:ascii="Courier New" w:hAnsi="Courier New" w:cs="Courier New" w:hint="default"/>
      </w:rPr>
    </w:lvl>
    <w:lvl w:ilvl="2" w:tplc="77B25F52" w:tentative="1">
      <w:start w:val="1"/>
      <w:numFmt w:val="bullet"/>
      <w:lvlText w:val=""/>
      <w:lvlJc w:val="left"/>
      <w:pPr>
        <w:ind w:left="2160" w:hanging="360"/>
      </w:pPr>
      <w:rPr>
        <w:rFonts w:ascii="Wingdings" w:hAnsi="Wingdings" w:hint="default"/>
      </w:rPr>
    </w:lvl>
    <w:lvl w:ilvl="3" w:tplc="489E428C" w:tentative="1">
      <w:start w:val="1"/>
      <w:numFmt w:val="bullet"/>
      <w:lvlText w:val=""/>
      <w:lvlJc w:val="left"/>
      <w:pPr>
        <w:ind w:left="2880" w:hanging="360"/>
      </w:pPr>
      <w:rPr>
        <w:rFonts w:ascii="Symbol" w:hAnsi="Symbol" w:hint="default"/>
      </w:rPr>
    </w:lvl>
    <w:lvl w:ilvl="4" w:tplc="7702FA5C" w:tentative="1">
      <w:start w:val="1"/>
      <w:numFmt w:val="bullet"/>
      <w:lvlText w:val="o"/>
      <w:lvlJc w:val="left"/>
      <w:pPr>
        <w:ind w:left="3600" w:hanging="360"/>
      </w:pPr>
      <w:rPr>
        <w:rFonts w:ascii="Courier New" w:hAnsi="Courier New" w:cs="Courier New" w:hint="default"/>
      </w:rPr>
    </w:lvl>
    <w:lvl w:ilvl="5" w:tplc="3450343A" w:tentative="1">
      <w:start w:val="1"/>
      <w:numFmt w:val="bullet"/>
      <w:lvlText w:val=""/>
      <w:lvlJc w:val="left"/>
      <w:pPr>
        <w:ind w:left="4320" w:hanging="360"/>
      </w:pPr>
      <w:rPr>
        <w:rFonts w:ascii="Wingdings" w:hAnsi="Wingdings" w:hint="default"/>
      </w:rPr>
    </w:lvl>
    <w:lvl w:ilvl="6" w:tplc="E7D806FE" w:tentative="1">
      <w:start w:val="1"/>
      <w:numFmt w:val="bullet"/>
      <w:lvlText w:val=""/>
      <w:lvlJc w:val="left"/>
      <w:pPr>
        <w:ind w:left="5040" w:hanging="360"/>
      </w:pPr>
      <w:rPr>
        <w:rFonts w:ascii="Symbol" w:hAnsi="Symbol" w:hint="default"/>
      </w:rPr>
    </w:lvl>
    <w:lvl w:ilvl="7" w:tplc="8A8469DE" w:tentative="1">
      <w:start w:val="1"/>
      <w:numFmt w:val="bullet"/>
      <w:lvlText w:val="o"/>
      <w:lvlJc w:val="left"/>
      <w:pPr>
        <w:ind w:left="5760" w:hanging="360"/>
      </w:pPr>
      <w:rPr>
        <w:rFonts w:ascii="Courier New" w:hAnsi="Courier New" w:cs="Courier New" w:hint="default"/>
      </w:rPr>
    </w:lvl>
    <w:lvl w:ilvl="8" w:tplc="FE3AAC6C" w:tentative="1">
      <w:start w:val="1"/>
      <w:numFmt w:val="bullet"/>
      <w:lvlText w:val=""/>
      <w:lvlJc w:val="left"/>
      <w:pPr>
        <w:ind w:left="6480" w:hanging="360"/>
      </w:pPr>
      <w:rPr>
        <w:rFonts w:ascii="Wingdings" w:hAnsi="Wingdings" w:hint="default"/>
      </w:rPr>
    </w:lvl>
  </w:abstractNum>
  <w:abstractNum w:abstractNumId="2" w15:restartNumberingAfterBreak="0">
    <w:nsid w:val="6C6B0EF9"/>
    <w:multiLevelType w:val="multilevel"/>
    <w:tmpl w:val="8F9A78B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16cid:durableId="1730422778">
    <w:abstractNumId w:val="2"/>
  </w:num>
  <w:num w:numId="2" w16cid:durableId="1988781089">
    <w:abstractNumId w:val="2"/>
  </w:num>
  <w:num w:numId="3" w16cid:durableId="1721906078">
    <w:abstractNumId w:val="2"/>
  </w:num>
  <w:num w:numId="4" w16cid:durableId="791678319">
    <w:abstractNumId w:val="2"/>
  </w:num>
  <w:num w:numId="5" w16cid:durableId="351692812">
    <w:abstractNumId w:val="2"/>
  </w:num>
  <w:num w:numId="6" w16cid:durableId="1072582373">
    <w:abstractNumId w:val="2"/>
  </w:num>
  <w:num w:numId="7" w16cid:durableId="283734320">
    <w:abstractNumId w:val="2"/>
  </w:num>
  <w:num w:numId="8" w16cid:durableId="917517644">
    <w:abstractNumId w:val="2"/>
  </w:num>
  <w:num w:numId="9" w16cid:durableId="431436551">
    <w:abstractNumId w:val="2"/>
  </w:num>
  <w:num w:numId="10" w16cid:durableId="853109002">
    <w:abstractNumId w:val="2"/>
  </w:num>
  <w:num w:numId="11" w16cid:durableId="1600218712">
    <w:abstractNumId w:val="2"/>
  </w:num>
  <w:num w:numId="12" w16cid:durableId="344595553">
    <w:abstractNumId w:val="2"/>
  </w:num>
  <w:num w:numId="13" w16cid:durableId="134179087">
    <w:abstractNumId w:val="2"/>
  </w:num>
  <w:num w:numId="14" w16cid:durableId="391465366">
    <w:abstractNumId w:val="2"/>
  </w:num>
  <w:num w:numId="15" w16cid:durableId="134759601">
    <w:abstractNumId w:val="2"/>
  </w:num>
  <w:num w:numId="16" w16cid:durableId="2044012225">
    <w:abstractNumId w:val="2"/>
  </w:num>
  <w:num w:numId="17" w16cid:durableId="2079133287">
    <w:abstractNumId w:val="2"/>
  </w:num>
  <w:num w:numId="18" w16cid:durableId="85659751">
    <w:abstractNumId w:val="2"/>
  </w:num>
  <w:num w:numId="19" w16cid:durableId="840630283">
    <w:abstractNumId w:val="1"/>
  </w:num>
  <w:num w:numId="20" w16cid:durableId="19262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B"/>
    <w:rsid w:val="00027552"/>
    <w:rsid w:val="000C278E"/>
    <w:rsid w:val="001233CD"/>
    <w:rsid w:val="00127D82"/>
    <w:rsid w:val="001B0017"/>
    <w:rsid w:val="001D0C89"/>
    <w:rsid w:val="001E34D9"/>
    <w:rsid w:val="002A012C"/>
    <w:rsid w:val="002A5AE7"/>
    <w:rsid w:val="002B32D9"/>
    <w:rsid w:val="00305336"/>
    <w:rsid w:val="0031706A"/>
    <w:rsid w:val="003242BD"/>
    <w:rsid w:val="00326D90"/>
    <w:rsid w:val="0033640E"/>
    <w:rsid w:val="00342AB7"/>
    <w:rsid w:val="00385B79"/>
    <w:rsid w:val="003A40E9"/>
    <w:rsid w:val="003B4ABF"/>
    <w:rsid w:val="003C43D2"/>
    <w:rsid w:val="003D0963"/>
    <w:rsid w:val="00405E3D"/>
    <w:rsid w:val="00416ADD"/>
    <w:rsid w:val="004850B1"/>
    <w:rsid w:val="004A08E3"/>
    <w:rsid w:val="00503904"/>
    <w:rsid w:val="00514099"/>
    <w:rsid w:val="0057086E"/>
    <w:rsid w:val="005737CE"/>
    <w:rsid w:val="005A4EDC"/>
    <w:rsid w:val="005E7669"/>
    <w:rsid w:val="00623030"/>
    <w:rsid w:val="00656BC9"/>
    <w:rsid w:val="006A24C8"/>
    <w:rsid w:val="006B74B7"/>
    <w:rsid w:val="00751C70"/>
    <w:rsid w:val="00795E60"/>
    <w:rsid w:val="007A46F9"/>
    <w:rsid w:val="007A6F6A"/>
    <w:rsid w:val="007C438A"/>
    <w:rsid w:val="007D03BE"/>
    <w:rsid w:val="007F0C07"/>
    <w:rsid w:val="00803EA2"/>
    <w:rsid w:val="008277D0"/>
    <w:rsid w:val="008A28D0"/>
    <w:rsid w:val="008E1B36"/>
    <w:rsid w:val="00913D40"/>
    <w:rsid w:val="00932BB2"/>
    <w:rsid w:val="00962D10"/>
    <w:rsid w:val="00970054"/>
    <w:rsid w:val="009A7F46"/>
    <w:rsid w:val="009C768E"/>
    <w:rsid w:val="009D0096"/>
    <w:rsid w:val="00A06539"/>
    <w:rsid w:val="00A234E7"/>
    <w:rsid w:val="00A24B46"/>
    <w:rsid w:val="00A33522"/>
    <w:rsid w:val="00A86C9B"/>
    <w:rsid w:val="00AA216E"/>
    <w:rsid w:val="00AB0EC1"/>
    <w:rsid w:val="00AB34D5"/>
    <w:rsid w:val="00AD0A0D"/>
    <w:rsid w:val="00AF5336"/>
    <w:rsid w:val="00B161D4"/>
    <w:rsid w:val="00B50452"/>
    <w:rsid w:val="00B7025F"/>
    <w:rsid w:val="00BE272B"/>
    <w:rsid w:val="00C23D5C"/>
    <w:rsid w:val="00C91C90"/>
    <w:rsid w:val="00CA18E8"/>
    <w:rsid w:val="00CA1E51"/>
    <w:rsid w:val="00CB0C4B"/>
    <w:rsid w:val="00CB7232"/>
    <w:rsid w:val="00D33F10"/>
    <w:rsid w:val="00D81E48"/>
    <w:rsid w:val="00E5254C"/>
    <w:rsid w:val="00E77475"/>
    <w:rsid w:val="00E97DD2"/>
    <w:rsid w:val="00EF1FBF"/>
    <w:rsid w:val="00F44ACC"/>
    <w:rsid w:val="00F55619"/>
    <w:rsid w:val="00F56376"/>
    <w:rsid w:val="00F93900"/>
    <w:rsid w:val="00FC2AD8"/>
    <w:rsid w:val="00FD14E4"/>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B4078E7"/>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numPr>
        <w:numId w:val="1"/>
      </w:numPr>
      <w:tabs>
        <w:tab w:val="left" w:pos="528"/>
      </w:tabs>
      <w:spacing w:before="480" w:after="120"/>
      <w:ind w:left="567" w:hanging="567"/>
      <w:outlineLvl w:val="0"/>
    </w:pPr>
    <w:rPr>
      <w:rFonts w:ascii="Arial" w:eastAsiaTheme="majorEastAsia" w:hAnsi="Arial" w:cstheme="majorBidi"/>
      <w:b/>
      <w:bCs/>
      <w:color w:val="000000"/>
      <w:sz w:val="36"/>
      <w:szCs w:val="36"/>
    </w:rPr>
  </w:style>
  <w:style w:type="paragraph" w:styleId="Rubrik2">
    <w:name w:val="heading 2"/>
    <w:basedOn w:val="Normal"/>
    <w:next w:val="Brdtext"/>
    <w:link w:val="Rubrik2Char"/>
    <w:uiPriority w:val="9"/>
    <w:unhideWhenUsed/>
    <w:qFormat/>
    <w:rsid w:val="002A012C"/>
    <w:pPr>
      <w:keepNext/>
      <w:keepLines/>
      <w:numPr>
        <w:ilvl w:val="1"/>
        <w:numId w:val="1"/>
      </w:numPr>
      <w:tabs>
        <w:tab w:val="left" w:pos="528"/>
      </w:tabs>
      <w:spacing w:before="360" w:after="120"/>
      <w:ind w:left="567" w:hanging="567"/>
      <w:outlineLvl w:val="1"/>
    </w:pPr>
    <w:rPr>
      <w:rFonts w:ascii="Arial" w:eastAsiaTheme="majorEastAsia" w:hAnsi="Arial" w:cstheme="majorBidi"/>
      <w:b/>
      <w:bCs/>
      <w:color w:val="000000"/>
      <w:sz w:val="28"/>
      <w:szCs w:val="28"/>
    </w:rPr>
  </w:style>
  <w:style w:type="paragraph" w:styleId="Rubrik3">
    <w:name w:val="heading 3"/>
    <w:basedOn w:val="Normal"/>
    <w:next w:val="Brdtext"/>
    <w:link w:val="Rubrik3Char"/>
    <w:uiPriority w:val="9"/>
    <w:unhideWhenUsed/>
    <w:qFormat/>
    <w:rsid w:val="002A012C"/>
    <w:pPr>
      <w:keepNext/>
      <w:keepLines/>
      <w:tabs>
        <w:tab w:val="left" w:pos="0"/>
      </w:tabs>
      <w:spacing w:before="480" w:after="120"/>
      <w:outlineLvl w:val="2"/>
    </w:pPr>
    <w:rPr>
      <w:rFonts w:eastAsiaTheme="majorEastAsia" w:cstheme="majorBidi"/>
      <w:b/>
      <w:bCs/>
      <w:color w:val="000000"/>
    </w:rPr>
  </w:style>
  <w:style w:type="paragraph" w:styleId="Rubrik4">
    <w:name w:val="heading 4"/>
    <w:basedOn w:val="Normal"/>
    <w:next w:val="Brdtext"/>
    <w:link w:val="Rubrik4Char"/>
    <w:uiPriority w:val="9"/>
    <w:unhideWhenUsed/>
    <w:qFormat/>
    <w:rsid w:val="002A012C"/>
    <w:pPr>
      <w:keepNext/>
      <w:keepLines/>
      <w:tabs>
        <w:tab w:val="left" w:pos="0"/>
      </w:tabs>
      <w:spacing w:before="240" w:after="120"/>
      <w:outlineLvl w:val="3"/>
    </w:pPr>
    <w:rPr>
      <w:rFonts w:eastAsiaTheme="majorEastAsia" w:cstheme="majorBidi"/>
      <w:b/>
      <w:bCs/>
      <w:color w:val="000000"/>
    </w:rPr>
  </w:style>
  <w:style w:type="paragraph" w:styleId="Rubrik5">
    <w:name w:val="heading 5"/>
    <w:basedOn w:val="Normal"/>
    <w:next w:val="Brdtext"/>
    <w:link w:val="Rubrik5Char"/>
    <w:uiPriority w:val="9"/>
    <w:unhideWhenUsed/>
    <w:qFormat/>
    <w:rsid w:val="002A012C"/>
    <w:pPr>
      <w:keepNext/>
      <w:keepLines/>
      <w:tabs>
        <w:tab w:val="left" w:pos="0"/>
      </w:tabs>
      <w:spacing w:before="240" w:after="120"/>
      <w:outlineLvl w:val="4"/>
    </w:pPr>
    <w:rPr>
      <w:rFonts w:eastAsiaTheme="majorEastAsia" w:cstheme="majorBidi"/>
      <w:b/>
      <w:bCs/>
      <w:color w:val="000000"/>
    </w:rPr>
  </w:style>
  <w:style w:type="paragraph" w:styleId="Rubrik6">
    <w:name w:val="heading 6"/>
    <w:basedOn w:val="Normal"/>
    <w:next w:val="Brdtext"/>
    <w:link w:val="Rubrik6Char"/>
    <w:uiPriority w:val="9"/>
    <w:unhideWhenUsed/>
    <w:qFormat/>
    <w:rsid w:val="002A012C"/>
    <w:pPr>
      <w:keepNext/>
      <w:keepLines/>
      <w:tabs>
        <w:tab w:val="left" w:pos="0"/>
      </w:tabs>
      <w:spacing w:before="200" w:after="0"/>
      <w:outlineLvl w:val="5"/>
    </w:pPr>
    <w:rPr>
      <w:rFonts w:eastAsiaTheme="majorEastAsia" w:cstheme="majorBidi"/>
      <w:i/>
      <w:iCs/>
      <w:color w:val="000000"/>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120" w:after="40" w:line="240" w:lineRule="auto"/>
    </w:pPr>
    <w:rPr>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240"/>
    </w:pPr>
    <w:rPr>
      <w:b/>
      <w:bCs/>
      <w:color w:val="000000"/>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pPr>
    <w:rPr>
      <w:rFonts w:cs="Arial"/>
      <w:sz w:val="20"/>
      <w:szCs w:val="20"/>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pPr>
    <w:rPr>
      <w:b/>
      <w:bCs/>
      <w:color w:val="000000"/>
    </w:rPr>
  </w:style>
  <w:style w:type="paragraph" w:customStyle="1" w:styleId="Fastanvisning">
    <w:name w:val="Fastanvisning"/>
    <w:basedOn w:val="Brdtext"/>
    <w:qFormat/>
    <w:rsid w:val="002A012C"/>
    <w:pPr>
      <w:spacing w:after="240"/>
    </w:pPr>
    <w:rPr>
      <w:color w:val="000000"/>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180"/>
    </w:pPr>
    <w:rPr>
      <w:color w:val="000000"/>
    </w:rPr>
  </w:style>
  <w:style w:type="character" w:customStyle="1" w:styleId="BodyTextChar">
    <w:name w:val="BodyText Char"/>
    <w:link w:val="BodyText"/>
    <w:rsid w:val="005A4EDC"/>
    <w:rPr>
      <w:rFonts w:ascii="Times New Roman" w:hAnsi="Times New Roman"/>
      <w:b w:val="0"/>
      <w:bCs w:val="0"/>
      <w:i w:val="0"/>
      <w:iCs w:val="0"/>
      <w:sz w:val="22"/>
      <w:szCs w:val="22"/>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numPr>
        <w:numId w:val="0"/>
      </w:numPr>
      <w:ind w:left="567" w:hanging="567"/>
      <w:outlineLvl w:val="9"/>
    </w:pPr>
  </w:style>
  <w:style w:type="paragraph" w:styleId="Innehll1">
    <w:name w:val="toc 1"/>
    <w:basedOn w:val="Normal"/>
    <w:next w:val="Normal"/>
    <w:autoRedefine/>
    <w:uiPriority w:val="39"/>
    <w:unhideWhenUsed/>
    <w:qFormat/>
    <w:rsid w:val="007A46F9"/>
    <w:pPr>
      <w:tabs>
        <w:tab w:val="right" w:leader="dot" w:pos="9639"/>
      </w:tabs>
      <w:ind w:left="283" w:right="567" w:hanging="283"/>
    </w:pPr>
    <w:rPr>
      <w:rFonts w:eastAsiaTheme="minorEastAsia" w:cstheme="minorBidi"/>
      <w:b/>
      <w:bCs/>
      <w:color w:val="000000"/>
      <w:sz w:val="20"/>
      <w:szCs w:val="20"/>
    </w:rPr>
  </w:style>
  <w:style w:type="paragraph" w:styleId="Innehll2">
    <w:name w:val="toc 2"/>
    <w:basedOn w:val="Normal"/>
    <w:next w:val="Normal"/>
    <w:autoRedefine/>
    <w:uiPriority w:val="39"/>
    <w:unhideWhenUsed/>
    <w:qFormat/>
    <w:rsid w:val="007A46F9"/>
    <w:pPr>
      <w:tabs>
        <w:tab w:val="right" w:leader="dot" w:pos="9639"/>
      </w:tabs>
      <w:spacing w:after="0"/>
      <w:ind w:left="1134" w:right="567" w:hanging="567"/>
    </w:pPr>
    <w:rPr>
      <w:color w:val="000000"/>
      <w:sz w:val="20"/>
      <w:szCs w:val="20"/>
    </w:rPr>
  </w:style>
  <w:style w:type="paragraph" w:styleId="Innehll3">
    <w:name w:val="toc 3"/>
    <w:basedOn w:val="Normal"/>
    <w:next w:val="Normal"/>
    <w:autoRedefine/>
    <w:uiPriority w:val="39"/>
    <w:unhideWhenUsed/>
    <w:qFormat/>
    <w:rsid w:val="007A46F9"/>
    <w:pPr>
      <w:tabs>
        <w:tab w:val="right" w:leader="dot" w:pos="9072"/>
      </w:tabs>
      <w:ind w:left="1134" w:hanging="567"/>
    </w:pPr>
    <w:rPr>
      <w:i/>
      <w:iCs/>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ind w:left="1560" w:hanging="709"/>
    </w:p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after="0" w:line="240" w:lineRule="auto"/>
    </w:pPr>
  </w:style>
  <w:style w:type="paragraph" w:customStyle="1" w:styleId="Rubrik2-inklKolumnnamnsrubrik">
    <w:name w:val="Rubrik 2 - inkl Kolumnnamnsrubrik"/>
    <w:basedOn w:val="Rubrik2"/>
    <w:next w:val="Brdtext"/>
    <w:link w:val="Rubrik2-inklKolumnnamnsrubrikChar"/>
    <w:qFormat/>
    <w:rsid w:val="00A86C9B"/>
  </w:style>
  <w:style w:type="paragraph" w:customStyle="1" w:styleId="Rubrik3-inklKolumnnamnsrubrik">
    <w:name w:val="Rubrik 3 - inkl Kolumnnamnsrubrik"/>
    <w:basedOn w:val="Rubrik3"/>
    <w:next w:val="Brdtext"/>
    <w:link w:val="Rubrik3-inklKolumnnamnsrubrikChar"/>
    <w:qFormat/>
    <w:rsid w:val="00A86C9B"/>
  </w:style>
  <w:style w:type="paragraph" w:customStyle="1" w:styleId="Rubrik4-inklKolumnnamnsrubrik">
    <w:name w:val="Rubrik 4 - inkl Kolumnnamnsrubrik"/>
    <w:basedOn w:val="Rubrik4"/>
    <w:next w:val="Brdtext"/>
    <w:link w:val="Rubrik4-inklKolumnnamnsrubrikChar"/>
    <w:qFormat/>
    <w:rsid w:val="00A86C9B"/>
  </w:style>
  <w:style w:type="paragraph" w:customStyle="1" w:styleId="Rubrik5-inklKolumnnamnsrubrik">
    <w:name w:val="Rubrik 5 - inkl Kolumnnamnsrubrik"/>
    <w:basedOn w:val="Rubrik5"/>
    <w:next w:val="Brdtext"/>
    <w:link w:val="Rubrik5-inklKolumnnamnsrubrikChar"/>
    <w:qFormat/>
    <w:rsid w:val="00A86C9B"/>
  </w:style>
  <w:style w:type="paragraph" w:customStyle="1" w:styleId="Rubrik6-inklKolumnnamnsrubrik">
    <w:name w:val="Rubrik 6 - inkl Kolumnnamnsrubrik"/>
    <w:basedOn w:val="Rubrik6"/>
    <w:next w:val="Brdtext"/>
    <w:link w:val="Rubrik6-inklKolumnnamnsrubrikChar"/>
    <w:qFormat/>
    <w:rsid w:val="00A86C9B"/>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p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p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p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p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p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ADD4B-D2FF-495B-ABB8-4F0ED34AA112}">
  <ds:schemaRefs>
    <ds:schemaRef ds:uri="http://schemas.openxmlformats.org/officeDocument/2006/bibliography"/>
  </ds:schemaRefs>
</ds:datastoreItem>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13733</Words>
  <Characters>72788</Characters>
  <Application>Microsoft Office Word</Application>
  <DocSecurity>4</DocSecurity>
  <Lines>606</Lines>
  <Paragraphs>172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dc:title>
  <dc:creator>Stratsys</dc:creator>
  <cp:lastModifiedBy>Nilsson Hirsch Yvonne, Regionkansliet Nämndsadministration</cp:lastModifiedBy>
  <cp:revision>2</cp:revision>
  <dcterms:created xsi:type="dcterms:W3CDTF">2026-02-26T07:46:00Z</dcterms:created>
  <dcterms:modified xsi:type="dcterms:W3CDTF">2026-02-26T07:46:00Z</dcterms:modified>
</cp:coreProperties>
</file>